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AC8" w:rsidRDefault="00186AC8" w:rsidP="00186AC8">
      <w:pPr>
        <w:shd w:val="clear" w:color="auto" w:fill="FFFFFF"/>
        <w:spacing w:after="300" w:line="300" w:lineRule="atLeast"/>
        <w:jc w:val="center"/>
        <w:rPr>
          <w:rFonts w:ascii="Arial" w:eastAsia="Times New Roman" w:hAnsi="Arial" w:cs="Arial"/>
          <w:b/>
          <w:color w:val="000000"/>
          <w:sz w:val="28"/>
          <w:szCs w:val="28"/>
          <w:lang w:val="en-US" w:eastAsia="en-IE"/>
        </w:rPr>
      </w:pPr>
      <w:bookmarkStart w:id="0" w:name="_GoBack"/>
      <w:bookmarkEnd w:id="0"/>
      <w:r>
        <w:rPr>
          <w:rFonts w:ascii="Arial" w:hAnsi="Arial" w:cs="Arial"/>
          <w:i/>
          <w:noProof/>
          <w:sz w:val="24"/>
          <w:szCs w:val="24"/>
          <w:lang w:eastAsia="en-IE"/>
        </w:rPr>
        <w:drawing>
          <wp:inline distT="0" distB="0" distL="0" distR="0" wp14:anchorId="0FFB8A57" wp14:editId="3FF6D989">
            <wp:extent cx="3876675" cy="100793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5133" cy="1010134"/>
                    </a:xfrm>
                    <a:prstGeom prst="rect">
                      <a:avLst/>
                    </a:prstGeom>
                    <a:noFill/>
                    <a:ln>
                      <a:noFill/>
                    </a:ln>
                  </pic:spPr>
                </pic:pic>
              </a:graphicData>
            </a:graphic>
          </wp:inline>
        </w:drawing>
      </w:r>
      <w:r w:rsidR="00EC5391" w:rsidRPr="00EC5391">
        <w:rPr>
          <w:rFonts w:ascii="Arial" w:eastAsia="Times New Roman" w:hAnsi="Arial" w:cs="Arial"/>
          <w:color w:val="000000"/>
          <w:sz w:val="28"/>
          <w:szCs w:val="28"/>
          <w:lang w:val="en-US" w:eastAsia="en-IE"/>
        </w:rPr>
        <w:br/>
      </w:r>
    </w:p>
    <w:p w:rsidR="00B0723E" w:rsidRDefault="001F3A47" w:rsidP="00186AC8">
      <w:pPr>
        <w:shd w:val="clear" w:color="auto" w:fill="FFFFFF"/>
        <w:spacing w:after="300" w:line="300" w:lineRule="atLeast"/>
        <w:jc w:val="center"/>
        <w:rPr>
          <w:rFonts w:ascii="Arial" w:eastAsia="Times New Roman" w:hAnsi="Arial" w:cs="Arial"/>
          <w:b/>
          <w:color w:val="000000"/>
          <w:sz w:val="28"/>
          <w:szCs w:val="28"/>
          <w:lang w:val="en-US" w:eastAsia="en-IE"/>
        </w:rPr>
      </w:pPr>
      <w:r w:rsidRPr="001F3A47">
        <w:rPr>
          <w:rFonts w:ascii="Arial" w:eastAsia="Times New Roman" w:hAnsi="Arial" w:cs="Arial"/>
          <w:b/>
          <w:color w:val="000000"/>
          <w:sz w:val="28"/>
          <w:szCs w:val="28"/>
          <w:lang w:val="en-US" w:eastAsia="en-IE"/>
        </w:rPr>
        <w:t>Public Consultation on Commissioning Human, Social and Community Services</w:t>
      </w:r>
    </w:p>
    <w:p w:rsidR="001F3A47" w:rsidRPr="004546D3" w:rsidRDefault="001F3A47" w:rsidP="00186AC8">
      <w:pPr>
        <w:shd w:val="clear" w:color="auto" w:fill="FFFFFF"/>
        <w:spacing w:after="300" w:line="300" w:lineRule="atLeast"/>
        <w:jc w:val="center"/>
        <w:rPr>
          <w:rFonts w:ascii="Arial" w:eastAsia="Times New Roman" w:hAnsi="Arial" w:cs="Arial"/>
          <w:b/>
          <w:color w:val="000000"/>
          <w:sz w:val="28"/>
          <w:szCs w:val="28"/>
          <w:lang w:val="en-US" w:eastAsia="en-IE"/>
        </w:rPr>
      </w:pPr>
      <w:r w:rsidRPr="001F3A47">
        <w:rPr>
          <w:rFonts w:ascii="Arial" w:eastAsia="Times New Roman" w:hAnsi="Arial" w:cs="Arial"/>
          <w:b/>
          <w:color w:val="000000"/>
          <w:sz w:val="28"/>
          <w:szCs w:val="28"/>
          <w:lang w:val="en-US" w:eastAsia="en-IE"/>
        </w:rPr>
        <w:t xml:space="preserve"> </w:t>
      </w:r>
      <w:r w:rsidR="00186AC8">
        <w:rPr>
          <w:rFonts w:ascii="Arial" w:eastAsia="Times New Roman" w:hAnsi="Arial" w:cs="Arial"/>
          <w:b/>
          <w:i/>
          <w:color w:val="000000"/>
          <w:sz w:val="28"/>
          <w:szCs w:val="28"/>
          <w:lang w:val="en-US" w:eastAsia="en-IE"/>
        </w:rPr>
        <w:t xml:space="preserve">A </w:t>
      </w:r>
      <w:r w:rsidRPr="001F3A47">
        <w:rPr>
          <w:rFonts w:ascii="Arial" w:eastAsia="Times New Roman" w:hAnsi="Arial" w:cs="Arial"/>
          <w:b/>
          <w:i/>
          <w:color w:val="000000"/>
          <w:sz w:val="28"/>
          <w:szCs w:val="28"/>
          <w:lang w:val="en-US" w:eastAsia="en-IE"/>
        </w:rPr>
        <w:t>Submission by the Citizens Information Board</w:t>
      </w:r>
      <w:r w:rsidR="00B0723E">
        <w:rPr>
          <w:rFonts w:ascii="Arial" w:eastAsia="Times New Roman" w:hAnsi="Arial" w:cs="Arial"/>
          <w:b/>
          <w:i/>
          <w:color w:val="000000"/>
          <w:sz w:val="28"/>
          <w:szCs w:val="28"/>
          <w:lang w:val="en-US" w:eastAsia="en-IE"/>
        </w:rPr>
        <w:t xml:space="preserve"> (February 2016)</w:t>
      </w:r>
    </w:p>
    <w:p w:rsidR="00B33497" w:rsidRPr="00EC5391" w:rsidRDefault="00B33497" w:rsidP="005249C0">
      <w:pPr>
        <w:shd w:val="clear" w:color="auto" w:fill="FFFFFF"/>
        <w:spacing w:before="100" w:beforeAutospacing="1" w:after="100" w:afterAutospacing="1"/>
        <w:rPr>
          <w:rFonts w:eastAsia="Times New Roman" w:cs="Arial"/>
          <w:b/>
          <w:color w:val="333333"/>
          <w:sz w:val="24"/>
          <w:szCs w:val="24"/>
          <w:lang w:eastAsia="en-IE"/>
        </w:rPr>
      </w:pPr>
      <w:r w:rsidRPr="00EC5391">
        <w:rPr>
          <w:rFonts w:eastAsia="Times New Roman" w:cs="Arial"/>
          <w:b/>
          <w:color w:val="333333"/>
          <w:sz w:val="24"/>
          <w:szCs w:val="24"/>
          <w:lang w:eastAsia="en-IE"/>
        </w:rPr>
        <w:t>Introduction</w:t>
      </w:r>
      <w:r w:rsidRPr="00EC5391">
        <w:rPr>
          <w:rFonts w:eastAsia="Times New Roman" w:cs="Arial"/>
          <w:b/>
          <w:color w:val="333333"/>
          <w:sz w:val="24"/>
          <w:szCs w:val="24"/>
          <w:lang w:eastAsia="en-IE"/>
        </w:rPr>
        <w:br/>
      </w:r>
      <w:r w:rsidRPr="00EC5391">
        <w:rPr>
          <w:rFonts w:cs="Arial"/>
          <w:color w:val="333333"/>
          <w:sz w:val="24"/>
          <w:szCs w:val="24"/>
        </w:rPr>
        <w:t xml:space="preserve">The </w:t>
      </w:r>
      <w:r w:rsidR="00941179" w:rsidRPr="00EC5391">
        <w:rPr>
          <w:rFonts w:cs="Arial"/>
          <w:color w:val="333333"/>
          <w:sz w:val="24"/>
          <w:szCs w:val="24"/>
        </w:rPr>
        <w:t xml:space="preserve">commitment to develop an innovative approach to commissioning support services </w:t>
      </w:r>
      <w:r w:rsidRPr="00EC5391">
        <w:rPr>
          <w:rFonts w:cs="Arial"/>
          <w:color w:val="333333"/>
          <w:sz w:val="24"/>
          <w:szCs w:val="24"/>
        </w:rPr>
        <w:t xml:space="preserve">is welcomed by the Citizens Information Board (CIB). </w:t>
      </w:r>
      <w:r w:rsidR="00941179" w:rsidRPr="00EC5391">
        <w:rPr>
          <w:rFonts w:cs="Arial"/>
          <w:color w:val="333333"/>
          <w:sz w:val="24"/>
          <w:szCs w:val="24"/>
        </w:rPr>
        <w:t>In particular, th</w:t>
      </w:r>
      <w:r w:rsidRPr="00EC5391">
        <w:rPr>
          <w:rFonts w:cs="Arial"/>
          <w:color w:val="333333"/>
          <w:sz w:val="24"/>
          <w:szCs w:val="24"/>
        </w:rPr>
        <w:t>e Board welcomes the inter-departmental approach being adopted whi</w:t>
      </w:r>
      <w:r w:rsidRPr="00EC5391">
        <w:rPr>
          <w:rFonts w:cs="Arial"/>
          <w:sz w:val="24"/>
          <w:szCs w:val="24"/>
        </w:rPr>
        <w:t xml:space="preserve">ch it is hoped will make a necessary contribution to the development and implementation of </w:t>
      </w:r>
      <w:r w:rsidR="00F112CE">
        <w:rPr>
          <w:rFonts w:cs="Arial"/>
          <w:sz w:val="24"/>
          <w:szCs w:val="24"/>
        </w:rPr>
        <w:t xml:space="preserve">an </w:t>
      </w:r>
      <w:r w:rsidR="00941179" w:rsidRPr="00EC5391">
        <w:rPr>
          <w:rFonts w:cs="Arial"/>
          <w:sz w:val="24"/>
          <w:szCs w:val="24"/>
        </w:rPr>
        <w:t xml:space="preserve">integrated approach to </w:t>
      </w:r>
      <w:r w:rsidR="00F3318D" w:rsidRPr="00EC5391">
        <w:rPr>
          <w:rFonts w:cs="Arial"/>
          <w:sz w:val="24"/>
          <w:szCs w:val="24"/>
        </w:rPr>
        <w:t>service delivery</w:t>
      </w:r>
      <w:r w:rsidRPr="00EC5391">
        <w:rPr>
          <w:rFonts w:cs="Arial"/>
          <w:sz w:val="24"/>
          <w:szCs w:val="24"/>
        </w:rPr>
        <w:t>.</w:t>
      </w:r>
      <w:r w:rsidR="00BA0026" w:rsidRPr="00EC5391">
        <w:rPr>
          <w:rFonts w:cs="Arial"/>
          <w:sz w:val="24"/>
          <w:szCs w:val="24"/>
        </w:rPr>
        <w:t xml:space="preserve"> The background information and literature review referenced in the consultation documentation is informative and useful. </w:t>
      </w:r>
    </w:p>
    <w:p w:rsidR="00420B6E" w:rsidRPr="00EC5391" w:rsidRDefault="00B33497" w:rsidP="005249C0">
      <w:pPr>
        <w:shd w:val="clear" w:color="auto" w:fill="FFFFFF"/>
        <w:spacing w:after="300"/>
        <w:rPr>
          <w:rFonts w:eastAsia="Times New Roman" w:cs="Arial"/>
          <w:color w:val="000000"/>
          <w:sz w:val="24"/>
          <w:szCs w:val="24"/>
          <w:lang w:val="en-US" w:eastAsia="en-IE"/>
        </w:rPr>
      </w:pPr>
      <w:r w:rsidRPr="00EC5391">
        <w:rPr>
          <w:rFonts w:eastAsia="Times New Roman" w:cs="Arial"/>
          <w:color w:val="000000"/>
          <w:sz w:val="24"/>
          <w:szCs w:val="24"/>
          <w:lang w:val="en-US" w:eastAsia="en-IE"/>
        </w:rPr>
        <w:t xml:space="preserve">This Submission is based on the Board’s experience of commissioning various pieces of work relating to strategic development, project management, service delivery and policy </w:t>
      </w:r>
      <w:r w:rsidR="00F3318D" w:rsidRPr="00EC5391">
        <w:rPr>
          <w:rFonts w:eastAsia="Times New Roman" w:cs="Arial"/>
          <w:color w:val="000000"/>
          <w:sz w:val="24"/>
          <w:szCs w:val="24"/>
          <w:lang w:val="en-US" w:eastAsia="en-IE"/>
        </w:rPr>
        <w:t xml:space="preserve">research </w:t>
      </w:r>
      <w:r w:rsidRPr="00EC5391">
        <w:rPr>
          <w:rFonts w:eastAsia="Times New Roman" w:cs="Arial"/>
          <w:color w:val="000000"/>
          <w:sz w:val="24"/>
          <w:szCs w:val="24"/>
          <w:lang w:val="en-US" w:eastAsia="en-IE"/>
        </w:rPr>
        <w:t>over the years involving both our central service and our service delivery partners – Citizens Information Services (CISs), the Citizens Information Phone Service (CIPS)</w:t>
      </w:r>
      <w:r w:rsidR="00E80276">
        <w:rPr>
          <w:rStyle w:val="FootnoteReference"/>
          <w:rFonts w:eastAsia="Times New Roman" w:cs="Arial"/>
          <w:color w:val="000000"/>
          <w:sz w:val="24"/>
          <w:szCs w:val="24"/>
          <w:lang w:val="en-US" w:eastAsia="en-IE"/>
        </w:rPr>
        <w:footnoteReference w:id="1"/>
      </w:r>
      <w:r w:rsidRPr="00EC5391">
        <w:rPr>
          <w:rFonts w:eastAsia="Times New Roman" w:cs="Arial"/>
          <w:color w:val="000000"/>
          <w:sz w:val="24"/>
          <w:szCs w:val="24"/>
          <w:lang w:val="en-US" w:eastAsia="en-IE"/>
        </w:rPr>
        <w:t xml:space="preserve">, the Money Advice and Budgeting Service (MABS), the National Advocacy Service for People with Disabilities (NAS) and the Sign Language Interpreting Service (SLIS)  </w:t>
      </w:r>
    </w:p>
    <w:p w:rsidR="001B6B7E" w:rsidRPr="00EC5391" w:rsidRDefault="001B6B7E" w:rsidP="005249C0">
      <w:pPr>
        <w:rPr>
          <w:rFonts w:cs="Arial"/>
          <w:sz w:val="24"/>
          <w:szCs w:val="24"/>
        </w:rPr>
      </w:pPr>
      <w:r w:rsidRPr="00EC5391">
        <w:rPr>
          <w:rFonts w:cs="Arial"/>
          <w:sz w:val="24"/>
          <w:szCs w:val="24"/>
        </w:rPr>
        <w:t xml:space="preserve">At the outset, the Board wishes to </w:t>
      </w:r>
      <w:r w:rsidR="002D6C3D" w:rsidRPr="00EC5391">
        <w:rPr>
          <w:rFonts w:cs="Arial"/>
          <w:sz w:val="24"/>
          <w:szCs w:val="24"/>
        </w:rPr>
        <w:t xml:space="preserve">state our understanding </w:t>
      </w:r>
      <w:r w:rsidR="00667668">
        <w:rPr>
          <w:rFonts w:cs="Arial"/>
          <w:sz w:val="24"/>
          <w:szCs w:val="24"/>
        </w:rPr>
        <w:t xml:space="preserve">of </w:t>
      </w:r>
      <w:r w:rsidR="002D6C3D" w:rsidRPr="00EC5391">
        <w:rPr>
          <w:rFonts w:cs="Arial"/>
          <w:sz w:val="24"/>
          <w:szCs w:val="24"/>
        </w:rPr>
        <w:t xml:space="preserve">the commissioning process as one which </w:t>
      </w:r>
      <w:r w:rsidRPr="00EC5391">
        <w:rPr>
          <w:rFonts w:cs="Arial"/>
          <w:sz w:val="24"/>
          <w:szCs w:val="24"/>
        </w:rPr>
        <w:t>is very much broader than the purchasing and procurement of services in the context of competitive tendering</w:t>
      </w:r>
      <w:r w:rsidR="002D6C3D" w:rsidRPr="00EC5391">
        <w:rPr>
          <w:rFonts w:cs="Arial"/>
          <w:sz w:val="24"/>
          <w:szCs w:val="24"/>
        </w:rPr>
        <w:t xml:space="preserve"> and compliance with EU and national legal requirements and protocols, important as these are in themselves</w:t>
      </w:r>
      <w:r w:rsidRPr="00EC5391">
        <w:rPr>
          <w:rFonts w:cs="Arial"/>
          <w:sz w:val="24"/>
          <w:szCs w:val="24"/>
        </w:rPr>
        <w:t xml:space="preserve">. Broadly </w:t>
      </w:r>
      <w:r w:rsidR="0059054F" w:rsidRPr="00EC5391">
        <w:rPr>
          <w:rFonts w:cs="Arial"/>
          <w:sz w:val="24"/>
          <w:szCs w:val="24"/>
        </w:rPr>
        <w:t>speaking</w:t>
      </w:r>
      <w:r w:rsidRPr="00EC5391">
        <w:rPr>
          <w:rFonts w:cs="Arial"/>
          <w:sz w:val="24"/>
          <w:szCs w:val="24"/>
        </w:rPr>
        <w:t xml:space="preserve">, </w:t>
      </w:r>
      <w:r w:rsidR="002D6C3D" w:rsidRPr="00EC5391">
        <w:rPr>
          <w:rFonts w:cs="Arial"/>
          <w:sz w:val="24"/>
          <w:szCs w:val="24"/>
        </w:rPr>
        <w:t xml:space="preserve">Commissioning is best understood </w:t>
      </w:r>
      <w:r w:rsidR="00F3318D" w:rsidRPr="00EC5391">
        <w:rPr>
          <w:rFonts w:cs="Arial"/>
          <w:sz w:val="24"/>
          <w:szCs w:val="24"/>
        </w:rPr>
        <w:t>as</w:t>
      </w:r>
      <w:r w:rsidRPr="00EC5391">
        <w:rPr>
          <w:rFonts w:cs="Arial"/>
          <w:sz w:val="24"/>
          <w:szCs w:val="24"/>
        </w:rPr>
        <w:t xml:space="preserve"> </w:t>
      </w:r>
      <w:r w:rsidR="002D6C3D" w:rsidRPr="00EC5391">
        <w:rPr>
          <w:rFonts w:cs="Arial"/>
          <w:sz w:val="24"/>
          <w:szCs w:val="24"/>
        </w:rPr>
        <w:t xml:space="preserve">a </w:t>
      </w:r>
      <w:r w:rsidRPr="00EC5391">
        <w:rPr>
          <w:rFonts w:cs="Arial"/>
          <w:sz w:val="24"/>
          <w:szCs w:val="24"/>
        </w:rPr>
        <w:t xml:space="preserve">process </w:t>
      </w:r>
      <w:r w:rsidR="00F3318D" w:rsidRPr="00EC5391">
        <w:rPr>
          <w:rFonts w:cs="Arial"/>
          <w:sz w:val="24"/>
          <w:szCs w:val="24"/>
        </w:rPr>
        <w:t xml:space="preserve">aimed at </w:t>
      </w:r>
      <w:r w:rsidRPr="00EC5391">
        <w:rPr>
          <w:rFonts w:cs="Arial"/>
          <w:sz w:val="24"/>
          <w:szCs w:val="24"/>
        </w:rPr>
        <w:t>link</w:t>
      </w:r>
      <w:r w:rsidR="00F3318D" w:rsidRPr="00EC5391">
        <w:rPr>
          <w:rFonts w:cs="Arial"/>
          <w:sz w:val="24"/>
          <w:szCs w:val="24"/>
        </w:rPr>
        <w:t xml:space="preserve">ing </w:t>
      </w:r>
      <w:r w:rsidRPr="00EC5391">
        <w:rPr>
          <w:rFonts w:cs="Arial"/>
          <w:sz w:val="24"/>
          <w:szCs w:val="24"/>
        </w:rPr>
        <w:t>resource allocation with meeting assessed needs</w:t>
      </w:r>
      <w:r w:rsidR="00F3318D" w:rsidRPr="00EC5391">
        <w:rPr>
          <w:rFonts w:cs="Arial"/>
          <w:sz w:val="24"/>
          <w:szCs w:val="24"/>
        </w:rPr>
        <w:t xml:space="preserve"> and achieving positive </w:t>
      </w:r>
      <w:r w:rsidR="00667668">
        <w:rPr>
          <w:rFonts w:cs="Arial"/>
          <w:sz w:val="24"/>
          <w:szCs w:val="24"/>
        </w:rPr>
        <w:t xml:space="preserve">outcomes </w:t>
      </w:r>
      <w:r w:rsidR="00F3318D" w:rsidRPr="00EC5391">
        <w:rPr>
          <w:rFonts w:cs="Arial"/>
          <w:sz w:val="24"/>
          <w:szCs w:val="24"/>
        </w:rPr>
        <w:t>f</w:t>
      </w:r>
      <w:r w:rsidRPr="00EC5391">
        <w:rPr>
          <w:rFonts w:cs="Arial"/>
          <w:sz w:val="24"/>
          <w:szCs w:val="24"/>
        </w:rPr>
        <w:t>or service users</w:t>
      </w:r>
      <w:r w:rsidR="00F3318D" w:rsidRPr="00EC5391">
        <w:rPr>
          <w:rFonts w:cs="Arial"/>
          <w:sz w:val="24"/>
          <w:szCs w:val="24"/>
        </w:rPr>
        <w:t xml:space="preserve"> in a cost-effective manner</w:t>
      </w:r>
      <w:r w:rsidR="002D6C3D" w:rsidRPr="00EC5391">
        <w:rPr>
          <w:rFonts w:cs="Arial"/>
          <w:sz w:val="24"/>
          <w:szCs w:val="24"/>
        </w:rPr>
        <w:t xml:space="preserve">. </w:t>
      </w:r>
      <w:r w:rsidRPr="00EC5391">
        <w:rPr>
          <w:rFonts w:cs="Arial"/>
          <w:sz w:val="24"/>
          <w:szCs w:val="24"/>
        </w:rPr>
        <w:t xml:space="preserve"> </w:t>
      </w:r>
      <w:r w:rsidR="00F3318D" w:rsidRPr="00EC5391">
        <w:rPr>
          <w:rFonts w:cs="Arial"/>
          <w:sz w:val="24"/>
          <w:szCs w:val="24"/>
        </w:rPr>
        <w:t xml:space="preserve">This applies to all such services whether they are provided </w:t>
      </w:r>
      <w:r w:rsidR="002D6C3D" w:rsidRPr="00EC5391">
        <w:rPr>
          <w:rFonts w:cs="Arial"/>
          <w:sz w:val="24"/>
          <w:szCs w:val="24"/>
        </w:rPr>
        <w:t xml:space="preserve">directly </w:t>
      </w:r>
      <w:r w:rsidR="00F3318D" w:rsidRPr="00EC5391">
        <w:rPr>
          <w:rFonts w:cs="Arial"/>
          <w:sz w:val="24"/>
          <w:szCs w:val="24"/>
        </w:rPr>
        <w:t>by a statutory agency, by the private or voluntary sector or through public–private/voluntary partnerships. Thus all delivery options should be considered in the context of a commissioning approach</w:t>
      </w:r>
      <w:r w:rsidR="002D6C3D" w:rsidRPr="00EC5391">
        <w:rPr>
          <w:rFonts w:cs="Arial"/>
          <w:sz w:val="24"/>
          <w:szCs w:val="24"/>
        </w:rPr>
        <w:t xml:space="preserve"> which may involve</w:t>
      </w:r>
      <w:r w:rsidR="00F3318D" w:rsidRPr="00EC5391">
        <w:rPr>
          <w:rFonts w:cs="Arial"/>
          <w:sz w:val="24"/>
          <w:szCs w:val="24"/>
        </w:rPr>
        <w:t xml:space="preserve">: </w:t>
      </w:r>
    </w:p>
    <w:p w:rsidR="001B6B7E" w:rsidRPr="00EC5391" w:rsidRDefault="001B6B7E" w:rsidP="001B6B7E">
      <w:pPr>
        <w:pStyle w:val="ListParagraph"/>
        <w:numPr>
          <w:ilvl w:val="0"/>
          <w:numId w:val="15"/>
        </w:numPr>
        <w:rPr>
          <w:rFonts w:cs="Arial"/>
          <w:sz w:val="24"/>
          <w:szCs w:val="24"/>
        </w:rPr>
      </w:pPr>
      <w:r w:rsidRPr="00EC5391">
        <w:rPr>
          <w:rFonts w:cs="Arial"/>
          <w:sz w:val="24"/>
          <w:szCs w:val="24"/>
        </w:rPr>
        <w:t xml:space="preserve">Direct public service </w:t>
      </w:r>
      <w:r w:rsidR="002D6C3D" w:rsidRPr="00EC5391">
        <w:rPr>
          <w:rFonts w:cs="Arial"/>
          <w:sz w:val="24"/>
          <w:szCs w:val="24"/>
        </w:rPr>
        <w:t>provision</w:t>
      </w:r>
    </w:p>
    <w:p w:rsidR="001B6B7E" w:rsidRPr="00EC5391" w:rsidRDefault="001B6B7E" w:rsidP="001B6B7E">
      <w:pPr>
        <w:pStyle w:val="ListParagraph"/>
        <w:numPr>
          <w:ilvl w:val="0"/>
          <w:numId w:val="15"/>
        </w:numPr>
        <w:rPr>
          <w:rFonts w:cs="Arial"/>
          <w:sz w:val="24"/>
          <w:szCs w:val="24"/>
        </w:rPr>
      </w:pPr>
      <w:r w:rsidRPr="00EC5391">
        <w:rPr>
          <w:rFonts w:cs="Arial"/>
          <w:sz w:val="24"/>
          <w:szCs w:val="24"/>
        </w:rPr>
        <w:t>Grants</w:t>
      </w:r>
      <w:r w:rsidR="00F3318D" w:rsidRPr="00EC5391">
        <w:rPr>
          <w:rFonts w:cs="Arial"/>
          <w:sz w:val="24"/>
          <w:szCs w:val="24"/>
        </w:rPr>
        <w:t xml:space="preserve"> to NGOs </w:t>
      </w:r>
    </w:p>
    <w:p w:rsidR="001B6B7E" w:rsidRPr="00EC5391" w:rsidRDefault="001B6B7E" w:rsidP="001B6B7E">
      <w:pPr>
        <w:pStyle w:val="ListParagraph"/>
        <w:numPr>
          <w:ilvl w:val="0"/>
          <w:numId w:val="15"/>
        </w:numPr>
        <w:rPr>
          <w:rFonts w:cs="Arial"/>
          <w:sz w:val="24"/>
          <w:szCs w:val="24"/>
        </w:rPr>
      </w:pPr>
      <w:r w:rsidRPr="00EC5391">
        <w:rPr>
          <w:rFonts w:cs="Arial"/>
          <w:sz w:val="24"/>
          <w:szCs w:val="24"/>
        </w:rPr>
        <w:t>Competitive tendering</w:t>
      </w:r>
    </w:p>
    <w:p w:rsidR="001B6B7E" w:rsidRPr="00EC5391" w:rsidRDefault="001B6B7E" w:rsidP="001B6B7E">
      <w:pPr>
        <w:pStyle w:val="ListParagraph"/>
        <w:numPr>
          <w:ilvl w:val="0"/>
          <w:numId w:val="15"/>
        </w:numPr>
        <w:rPr>
          <w:rFonts w:cs="Arial"/>
          <w:sz w:val="24"/>
          <w:szCs w:val="24"/>
        </w:rPr>
      </w:pPr>
      <w:r w:rsidRPr="00EC5391">
        <w:rPr>
          <w:rFonts w:cs="Arial"/>
          <w:sz w:val="24"/>
          <w:szCs w:val="24"/>
        </w:rPr>
        <w:lastRenderedPageBreak/>
        <w:t>Public/voluntary/private partnerships</w:t>
      </w:r>
    </w:p>
    <w:p w:rsidR="00EC5391" w:rsidRPr="00EC5391" w:rsidRDefault="00FB6EAB" w:rsidP="005249C0">
      <w:pPr>
        <w:shd w:val="clear" w:color="auto" w:fill="FFFFFF"/>
        <w:spacing w:after="300"/>
        <w:rPr>
          <w:rFonts w:eastAsia="Times New Roman" w:cs="Arial"/>
          <w:color w:val="000000"/>
          <w:sz w:val="24"/>
          <w:szCs w:val="24"/>
          <w:lang w:val="en-US" w:eastAsia="en-IE"/>
        </w:rPr>
      </w:pPr>
      <w:r>
        <w:rPr>
          <w:rFonts w:eastAsia="Times New Roman" w:cs="Arial"/>
          <w:color w:val="000000"/>
          <w:sz w:val="24"/>
          <w:szCs w:val="24"/>
          <w:lang w:val="en-US" w:eastAsia="en-IE"/>
        </w:rPr>
        <w:t>K</w:t>
      </w:r>
      <w:r w:rsidR="00EC5391">
        <w:rPr>
          <w:rFonts w:eastAsia="Times New Roman" w:cs="Arial"/>
          <w:color w:val="000000"/>
          <w:sz w:val="24"/>
          <w:szCs w:val="24"/>
          <w:lang w:val="en-US" w:eastAsia="en-IE"/>
        </w:rPr>
        <w:t>ey question</w:t>
      </w:r>
      <w:r>
        <w:rPr>
          <w:rFonts w:eastAsia="Times New Roman" w:cs="Arial"/>
          <w:color w:val="000000"/>
          <w:sz w:val="24"/>
          <w:szCs w:val="24"/>
          <w:lang w:val="en-US" w:eastAsia="en-IE"/>
        </w:rPr>
        <w:t>s</w:t>
      </w:r>
      <w:r w:rsidR="00EC5391">
        <w:rPr>
          <w:rFonts w:eastAsia="Times New Roman" w:cs="Arial"/>
          <w:color w:val="000000"/>
          <w:sz w:val="24"/>
          <w:szCs w:val="24"/>
          <w:lang w:val="en-US" w:eastAsia="en-IE"/>
        </w:rPr>
        <w:t xml:space="preserve">, of course, </w:t>
      </w:r>
      <w:r>
        <w:rPr>
          <w:rFonts w:eastAsia="Times New Roman" w:cs="Arial"/>
          <w:color w:val="000000"/>
          <w:sz w:val="24"/>
          <w:szCs w:val="24"/>
          <w:lang w:val="en-US" w:eastAsia="en-IE"/>
        </w:rPr>
        <w:t xml:space="preserve">are which </w:t>
      </w:r>
      <w:r w:rsidR="00EC5391">
        <w:rPr>
          <w:rFonts w:eastAsia="Times New Roman" w:cs="Arial"/>
          <w:color w:val="000000"/>
          <w:sz w:val="24"/>
          <w:szCs w:val="24"/>
          <w:lang w:val="en-US" w:eastAsia="en-IE"/>
        </w:rPr>
        <w:t xml:space="preserve">services </w:t>
      </w:r>
      <w:r>
        <w:rPr>
          <w:rFonts w:eastAsia="Times New Roman" w:cs="Arial"/>
          <w:color w:val="000000"/>
          <w:sz w:val="24"/>
          <w:szCs w:val="24"/>
          <w:lang w:val="en-US" w:eastAsia="en-IE"/>
        </w:rPr>
        <w:t xml:space="preserve">should </w:t>
      </w:r>
      <w:r w:rsidR="00EC5391">
        <w:rPr>
          <w:rFonts w:eastAsia="Times New Roman" w:cs="Arial"/>
          <w:color w:val="000000"/>
          <w:sz w:val="24"/>
          <w:szCs w:val="24"/>
          <w:lang w:val="en-US" w:eastAsia="en-IE"/>
        </w:rPr>
        <w:t>be provided directly by public bodies</w:t>
      </w:r>
      <w:r>
        <w:rPr>
          <w:rFonts w:eastAsia="Times New Roman" w:cs="Arial"/>
          <w:color w:val="000000"/>
          <w:sz w:val="24"/>
          <w:szCs w:val="24"/>
          <w:lang w:val="en-US" w:eastAsia="en-IE"/>
        </w:rPr>
        <w:t>; which should be contracted out and on what basis should such decisions be made.</w:t>
      </w:r>
    </w:p>
    <w:p w:rsidR="00603312" w:rsidRPr="00EC5391" w:rsidRDefault="00495C54" w:rsidP="00F3318D">
      <w:pPr>
        <w:shd w:val="clear" w:color="auto" w:fill="FFFFFF"/>
        <w:spacing w:after="300" w:line="300" w:lineRule="atLeast"/>
        <w:rPr>
          <w:rFonts w:cs="Arial"/>
          <w:sz w:val="24"/>
          <w:szCs w:val="24"/>
        </w:rPr>
      </w:pPr>
      <w:r w:rsidRPr="00EC5391">
        <w:rPr>
          <w:rFonts w:eastAsia="Times New Roman" w:cs="Arial"/>
          <w:b/>
          <w:color w:val="000000"/>
          <w:sz w:val="24"/>
          <w:szCs w:val="24"/>
          <w:lang w:val="en-US" w:eastAsia="en-IE"/>
        </w:rPr>
        <w:t>Core</w:t>
      </w:r>
      <w:r w:rsidRPr="00EC5391">
        <w:rPr>
          <w:rFonts w:eastAsia="Times New Roman" w:cs="Arial"/>
          <w:i/>
          <w:color w:val="000000"/>
          <w:sz w:val="24"/>
          <w:szCs w:val="24"/>
          <w:lang w:val="en-US" w:eastAsia="en-IE"/>
        </w:rPr>
        <w:t xml:space="preserve"> </w:t>
      </w:r>
      <w:r w:rsidRPr="00EC5391">
        <w:rPr>
          <w:rFonts w:eastAsia="Times New Roman" w:cs="Arial"/>
          <w:b/>
          <w:color w:val="000000"/>
          <w:sz w:val="24"/>
          <w:szCs w:val="24"/>
          <w:lang w:val="en-US" w:eastAsia="en-IE"/>
        </w:rPr>
        <w:t>Considerations</w:t>
      </w:r>
      <w:r w:rsidR="00F3318D" w:rsidRPr="00EC5391">
        <w:rPr>
          <w:rFonts w:eastAsia="Times New Roman" w:cs="Arial"/>
          <w:i/>
          <w:color w:val="000000"/>
          <w:sz w:val="24"/>
          <w:szCs w:val="24"/>
          <w:lang w:val="en-US" w:eastAsia="en-IE"/>
        </w:rPr>
        <w:br/>
      </w:r>
      <w:r w:rsidRPr="00EC5391">
        <w:rPr>
          <w:rFonts w:cs="Arial"/>
          <w:bCs/>
          <w:sz w:val="24"/>
          <w:szCs w:val="24"/>
        </w:rPr>
        <w:t xml:space="preserve">The Board believes that the following are basic considerations in any commissioning of human, social </w:t>
      </w:r>
      <w:r w:rsidRPr="00EC5391">
        <w:rPr>
          <w:rFonts w:eastAsia="Times New Roman" w:cs="Arial"/>
          <w:color w:val="000000"/>
          <w:sz w:val="24"/>
          <w:szCs w:val="24"/>
          <w:lang w:val="en-US" w:eastAsia="en-IE"/>
        </w:rPr>
        <w:t>and community services.</w:t>
      </w:r>
    </w:p>
    <w:p w:rsidR="0059054F" w:rsidRPr="00EC5391" w:rsidRDefault="00F54B91" w:rsidP="0059054F">
      <w:pPr>
        <w:pStyle w:val="ListParagraph"/>
        <w:numPr>
          <w:ilvl w:val="0"/>
          <w:numId w:val="19"/>
        </w:numPr>
        <w:rPr>
          <w:rFonts w:cs="Arial"/>
          <w:sz w:val="24"/>
          <w:szCs w:val="24"/>
        </w:rPr>
      </w:pPr>
      <w:r w:rsidRPr="00EC5391">
        <w:rPr>
          <w:rFonts w:cs="Arial"/>
          <w:sz w:val="24"/>
          <w:szCs w:val="24"/>
        </w:rPr>
        <w:t xml:space="preserve">Services provided are based on a full assessment of </w:t>
      </w:r>
      <w:r w:rsidR="0059054F" w:rsidRPr="00EC5391">
        <w:rPr>
          <w:rFonts w:cs="Arial"/>
          <w:sz w:val="24"/>
          <w:szCs w:val="24"/>
        </w:rPr>
        <w:t>people’s</w:t>
      </w:r>
      <w:r w:rsidRPr="00EC5391">
        <w:rPr>
          <w:rFonts w:cs="Arial"/>
          <w:sz w:val="24"/>
          <w:szCs w:val="24"/>
        </w:rPr>
        <w:t xml:space="preserve"> </w:t>
      </w:r>
      <w:r w:rsidR="0059054F" w:rsidRPr="00EC5391">
        <w:rPr>
          <w:rFonts w:cs="Arial"/>
          <w:sz w:val="24"/>
          <w:szCs w:val="24"/>
        </w:rPr>
        <w:t>needs</w:t>
      </w:r>
      <w:r w:rsidRPr="00EC5391">
        <w:rPr>
          <w:rFonts w:cs="Arial"/>
          <w:sz w:val="24"/>
          <w:szCs w:val="24"/>
        </w:rPr>
        <w:t>;</w:t>
      </w:r>
      <w:r w:rsidR="0059054F" w:rsidRPr="00EC5391">
        <w:rPr>
          <w:rFonts w:cs="Arial"/>
          <w:sz w:val="24"/>
          <w:szCs w:val="24"/>
        </w:rPr>
        <w:br/>
      </w:r>
    </w:p>
    <w:p w:rsidR="00B0723E" w:rsidRDefault="00F112CE" w:rsidP="0059054F">
      <w:pPr>
        <w:pStyle w:val="ListParagraph"/>
        <w:numPr>
          <w:ilvl w:val="0"/>
          <w:numId w:val="19"/>
        </w:numPr>
        <w:shd w:val="clear" w:color="auto" w:fill="FFFFFF"/>
        <w:spacing w:after="300" w:line="300" w:lineRule="atLeast"/>
        <w:rPr>
          <w:rFonts w:eastAsia="Times New Roman" w:cs="Arial"/>
          <w:color w:val="000000"/>
          <w:sz w:val="24"/>
          <w:szCs w:val="24"/>
          <w:lang w:val="en-US" w:eastAsia="en-IE"/>
        </w:rPr>
      </w:pPr>
      <w:r>
        <w:rPr>
          <w:rFonts w:eastAsia="Times New Roman" w:cs="Arial"/>
          <w:color w:val="000000"/>
          <w:sz w:val="24"/>
          <w:szCs w:val="24"/>
          <w:lang w:val="en-US" w:eastAsia="en-IE"/>
        </w:rPr>
        <w:t>Services delivered are compliant with stated Government policy</w:t>
      </w:r>
      <w:r w:rsidR="00400DE9">
        <w:rPr>
          <w:rFonts w:eastAsia="Times New Roman" w:cs="Arial"/>
          <w:color w:val="000000"/>
          <w:sz w:val="24"/>
          <w:szCs w:val="24"/>
          <w:lang w:val="en-US" w:eastAsia="en-IE"/>
        </w:rPr>
        <w:t>,</w:t>
      </w:r>
      <w:r w:rsidR="00B0723E">
        <w:rPr>
          <w:rFonts w:eastAsia="Times New Roman" w:cs="Arial"/>
          <w:color w:val="000000"/>
          <w:sz w:val="24"/>
          <w:szCs w:val="24"/>
          <w:lang w:val="en-US" w:eastAsia="en-IE"/>
        </w:rPr>
        <w:t xml:space="preserve"> principles and guidelines;</w:t>
      </w:r>
      <w:r>
        <w:rPr>
          <w:rFonts w:eastAsia="Times New Roman" w:cs="Arial"/>
          <w:color w:val="000000"/>
          <w:sz w:val="24"/>
          <w:szCs w:val="24"/>
          <w:lang w:val="en-US" w:eastAsia="en-IE"/>
        </w:rPr>
        <w:t xml:space="preserve"> </w:t>
      </w:r>
    </w:p>
    <w:p w:rsidR="00F112CE" w:rsidRPr="00B0723E" w:rsidRDefault="00B0723E" w:rsidP="00B0723E">
      <w:pPr>
        <w:pStyle w:val="NormalWeb"/>
        <w:numPr>
          <w:ilvl w:val="0"/>
          <w:numId w:val="19"/>
        </w:numPr>
        <w:shd w:val="clear" w:color="auto" w:fill="FFFFFF"/>
        <w:rPr>
          <w:rFonts w:ascii="Calibri" w:hAnsi="Calibri"/>
          <w:color w:val="000000"/>
        </w:rPr>
      </w:pPr>
      <w:r>
        <w:rPr>
          <w:rStyle w:val="Strong"/>
          <w:rFonts w:ascii="Calibri" w:hAnsi="Calibri"/>
          <w:b w:val="0"/>
          <w:color w:val="000000"/>
        </w:rPr>
        <w:t>Principle</w:t>
      </w:r>
      <w:r w:rsidRPr="00B0723E">
        <w:rPr>
          <w:rStyle w:val="Strong"/>
          <w:rFonts w:ascii="Calibri" w:hAnsi="Calibri"/>
          <w:b w:val="0"/>
          <w:color w:val="000000"/>
        </w:rPr>
        <w:t>s of a community development approach are kept central to the commissioning process - analysis and identification of community needs and the development of appropriate part</w:t>
      </w:r>
      <w:r>
        <w:rPr>
          <w:rStyle w:val="Strong"/>
          <w:rFonts w:ascii="Calibri" w:hAnsi="Calibri"/>
          <w:b w:val="0"/>
          <w:color w:val="000000"/>
        </w:rPr>
        <w:t>nership and socially inclusive </w:t>
      </w:r>
      <w:r w:rsidRPr="00B0723E">
        <w:rPr>
          <w:rStyle w:val="Strong"/>
          <w:rFonts w:ascii="Calibri" w:hAnsi="Calibri"/>
          <w:b w:val="0"/>
          <w:color w:val="000000"/>
        </w:rPr>
        <w:t>strategies to address these</w:t>
      </w:r>
      <w:r>
        <w:rPr>
          <w:rStyle w:val="Strong"/>
          <w:rFonts w:ascii="Calibri" w:hAnsi="Calibri"/>
          <w:color w:val="000000"/>
        </w:rPr>
        <w:t>.</w:t>
      </w:r>
      <w:r w:rsidR="00F112CE" w:rsidRPr="00B0723E">
        <w:rPr>
          <w:rFonts w:eastAsia="Times New Roman" w:cs="Arial"/>
          <w:color w:val="000000"/>
          <w:lang w:val="en-US"/>
        </w:rPr>
        <w:br/>
      </w:r>
    </w:p>
    <w:p w:rsidR="00400DE9" w:rsidRDefault="00F54B91" w:rsidP="0059054F">
      <w:pPr>
        <w:pStyle w:val="ListParagraph"/>
        <w:numPr>
          <w:ilvl w:val="0"/>
          <w:numId w:val="19"/>
        </w:numPr>
        <w:shd w:val="clear" w:color="auto" w:fill="FFFFFF"/>
        <w:spacing w:after="300" w:line="300" w:lineRule="atLeast"/>
        <w:rPr>
          <w:rFonts w:eastAsia="Times New Roman" w:cs="Arial"/>
          <w:color w:val="000000"/>
          <w:sz w:val="24"/>
          <w:szCs w:val="24"/>
          <w:lang w:val="en-US" w:eastAsia="en-IE"/>
        </w:rPr>
      </w:pPr>
      <w:r w:rsidRPr="00EC5391">
        <w:rPr>
          <w:rFonts w:eastAsia="Times New Roman" w:cs="Arial"/>
          <w:color w:val="000000"/>
          <w:sz w:val="24"/>
          <w:szCs w:val="24"/>
          <w:lang w:val="en-US" w:eastAsia="en-IE"/>
        </w:rPr>
        <w:t>The delivery model/fra</w:t>
      </w:r>
      <w:r w:rsidR="0059054F" w:rsidRPr="00EC5391">
        <w:rPr>
          <w:rFonts w:eastAsia="Times New Roman" w:cs="Arial"/>
          <w:color w:val="000000"/>
          <w:sz w:val="24"/>
          <w:szCs w:val="24"/>
          <w:lang w:val="en-US" w:eastAsia="en-IE"/>
        </w:rPr>
        <w:t xml:space="preserve">mework </w:t>
      </w:r>
      <w:r w:rsidRPr="00EC5391">
        <w:rPr>
          <w:rFonts w:eastAsia="Times New Roman" w:cs="Arial"/>
          <w:color w:val="000000"/>
          <w:sz w:val="24"/>
          <w:szCs w:val="24"/>
          <w:lang w:val="en-US" w:eastAsia="en-IE"/>
        </w:rPr>
        <w:t>used is  such as to enable optimum efficiency in the context of available resources</w:t>
      </w:r>
      <w:r w:rsidR="00F112CE">
        <w:rPr>
          <w:rFonts w:eastAsia="Times New Roman" w:cs="Arial"/>
          <w:color w:val="000000"/>
          <w:sz w:val="24"/>
          <w:szCs w:val="24"/>
          <w:lang w:val="en-US" w:eastAsia="en-IE"/>
        </w:rPr>
        <w:t xml:space="preserve"> as well as demonstrable value for money</w:t>
      </w:r>
      <w:r w:rsidRPr="00EC5391">
        <w:rPr>
          <w:rFonts w:eastAsia="Times New Roman" w:cs="Arial"/>
          <w:color w:val="000000"/>
          <w:sz w:val="24"/>
          <w:szCs w:val="24"/>
          <w:lang w:val="en-US" w:eastAsia="en-IE"/>
        </w:rPr>
        <w:t>;</w:t>
      </w:r>
      <w:r w:rsidR="00400DE9">
        <w:rPr>
          <w:rFonts w:eastAsia="Times New Roman" w:cs="Arial"/>
          <w:color w:val="000000"/>
          <w:sz w:val="24"/>
          <w:szCs w:val="24"/>
          <w:lang w:val="en-US" w:eastAsia="en-IE"/>
        </w:rPr>
        <w:br/>
      </w:r>
    </w:p>
    <w:p w:rsidR="00F54B91" w:rsidRPr="00EC5391" w:rsidRDefault="00400DE9" w:rsidP="0059054F">
      <w:pPr>
        <w:pStyle w:val="ListParagraph"/>
        <w:numPr>
          <w:ilvl w:val="0"/>
          <w:numId w:val="19"/>
        </w:numPr>
        <w:shd w:val="clear" w:color="auto" w:fill="FFFFFF"/>
        <w:spacing w:after="300" w:line="300" w:lineRule="atLeast"/>
        <w:rPr>
          <w:rFonts w:eastAsia="Times New Roman" w:cs="Arial"/>
          <w:color w:val="000000"/>
          <w:sz w:val="24"/>
          <w:szCs w:val="24"/>
          <w:lang w:val="en-US" w:eastAsia="en-IE"/>
        </w:rPr>
      </w:pPr>
      <w:r>
        <w:rPr>
          <w:rFonts w:eastAsia="Times New Roman" w:cs="Arial"/>
          <w:color w:val="000000"/>
          <w:sz w:val="24"/>
          <w:szCs w:val="24"/>
          <w:lang w:val="en-US" w:eastAsia="en-IE"/>
        </w:rPr>
        <w:t xml:space="preserve">Great care is required to ensure that the appropriate balance is achieved between value for money considerations and ensuring quality service delivery for end-users;  </w:t>
      </w:r>
      <w:r w:rsidR="00F54B91" w:rsidRPr="00EC5391">
        <w:rPr>
          <w:rFonts w:eastAsia="Times New Roman" w:cs="Arial"/>
          <w:color w:val="000000"/>
          <w:sz w:val="24"/>
          <w:szCs w:val="24"/>
          <w:lang w:val="en-US" w:eastAsia="en-IE"/>
        </w:rPr>
        <w:br/>
      </w:r>
    </w:p>
    <w:p w:rsidR="00F54B91" w:rsidRPr="00EC5391" w:rsidRDefault="00F54B91" w:rsidP="0059054F">
      <w:pPr>
        <w:pStyle w:val="ListParagraph"/>
        <w:numPr>
          <w:ilvl w:val="0"/>
          <w:numId w:val="19"/>
        </w:numPr>
        <w:shd w:val="clear" w:color="auto" w:fill="FFFFFF"/>
        <w:spacing w:after="300" w:line="300" w:lineRule="atLeast"/>
        <w:rPr>
          <w:rFonts w:eastAsia="Times New Roman" w:cs="Arial"/>
          <w:color w:val="000000"/>
          <w:sz w:val="24"/>
          <w:szCs w:val="24"/>
          <w:lang w:val="en-US" w:eastAsia="en-IE"/>
        </w:rPr>
      </w:pPr>
      <w:r w:rsidRPr="00EC5391">
        <w:rPr>
          <w:rFonts w:eastAsia="Times New Roman" w:cs="Arial"/>
          <w:color w:val="000000"/>
          <w:sz w:val="24"/>
          <w:szCs w:val="24"/>
          <w:lang w:val="en-US" w:eastAsia="en-IE"/>
        </w:rPr>
        <w:t>The service provider demonstrates clear and proven expertise in the specific service area;</w:t>
      </w:r>
      <w:r w:rsidRPr="00EC5391">
        <w:rPr>
          <w:rFonts w:eastAsia="Times New Roman" w:cs="Arial"/>
          <w:color w:val="000000"/>
          <w:sz w:val="24"/>
          <w:szCs w:val="24"/>
          <w:lang w:val="en-US" w:eastAsia="en-IE"/>
        </w:rPr>
        <w:br/>
      </w:r>
    </w:p>
    <w:p w:rsidR="001120C1" w:rsidRPr="00EC5391" w:rsidRDefault="00F54B91" w:rsidP="001120C1">
      <w:pPr>
        <w:pStyle w:val="ListParagraph"/>
        <w:numPr>
          <w:ilvl w:val="0"/>
          <w:numId w:val="19"/>
        </w:numPr>
        <w:shd w:val="clear" w:color="auto" w:fill="FFFFFF"/>
        <w:spacing w:after="300" w:line="300" w:lineRule="atLeast"/>
        <w:rPr>
          <w:rFonts w:cs="Arial"/>
          <w:sz w:val="24"/>
          <w:szCs w:val="24"/>
        </w:rPr>
      </w:pPr>
      <w:r w:rsidRPr="00EC5391">
        <w:rPr>
          <w:rFonts w:eastAsia="Times New Roman" w:cs="Arial"/>
          <w:color w:val="000000"/>
          <w:sz w:val="24"/>
          <w:szCs w:val="24"/>
          <w:lang w:val="en-US" w:eastAsia="en-IE"/>
        </w:rPr>
        <w:t>The service  provider has an inbuilt capacity to anticipate potential difficulties/challenges and to identify ways of overcoming these;</w:t>
      </w:r>
      <w:r w:rsidRPr="00EC5391">
        <w:rPr>
          <w:rFonts w:eastAsia="Times New Roman" w:cs="Arial"/>
          <w:color w:val="000000"/>
          <w:sz w:val="24"/>
          <w:szCs w:val="24"/>
          <w:lang w:val="en-US" w:eastAsia="en-IE"/>
        </w:rPr>
        <w:br/>
      </w:r>
    </w:p>
    <w:p w:rsidR="001120C1" w:rsidRPr="00EC5391" w:rsidRDefault="001120C1" w:rsidP="001120C1">
      <w:pPr>
        <w:pStyle w:val="ListParagraph"/>
        <w:numPr>
          <w:ilvl w:val="0"/>
          <w:numId w:val="19"/>
        </w:numPr>
        <w:shd w:val="clear" w:color="auto" w:fill="FFFFFF"/>
        <w:spacing w:after="300" w:line="300" w:lineRule="atLeast"/>
        <w:rPr>
          <w:rFonts w:cs="Arial"/>
          <w:sz w:val="24"/>
          <w:szCs w:val="24"/>
        </w:rPr>
      </w:pPr>
      <w:r w:rsidRPr="00EC5391">
        <w:rPr>
          <w:rFonts w:eastAsia="Times New Roman" w:cs="Arial"/>
          <w:color w:val="000000"/>
          <w:sz w:val="24"/>
          <w:szCs w:val="24"/>
          <w:lang w:val="en-US" w:eastAsia="en-IE"/>
        </w:rPr>
        <w:t>The core principles of citizen-</w:t>
      </w:r>
      <w:proofErr w:type="spellStart"/>
      <w:r w:rsidRPr="00EC5391">
        <w:rPr>
          <w:rFonts w:eastAsia="Times New Roman" w:cs="Arial"/>
          <w:color w:val="000000"/>
          <w:sz w:val="24"/>
          <w:szCs w:val="24"/>
          <w:lang w:val="en-US" w:eastAsia="en-IE"/>
        </w:rPr>
        <w:t>centred</w:t>
      </w:r>
      <w:proofErr w:type="spellEnd"/>
      <w:r w:rsidRPr="00EC5391">
        <w:rPr>
          <w:rFonts w:eastAsia="Times New Roman" w:cs="Arial"/>
          <w:color w:val="000000"/>
          <w:sz w:val="24"/>
          <w:szCs w:val="24"/>
          <w:lang w:val="en-US" w:eastAsia="en-IE"/>
        </w:rPr>
        <w:t xml:space="preserve"> services are referenced and provided for in a meaningful manner, </w:t>
      </w:r>
      <w:r w:rsidR="00EC5391">
        <w:rPr>
          <w:rFonts w:eastAsia="Times New Roman" w:cs="Arial"/>
          <w:color w:val="000000"/>
          <w:sz w:val="24"/>
          <w:szCs w:val="24"/>
          <w:lang w:val="en-US" w:eastAsia="en-IE"/>
        </w:rPr>
        <w:t>i</w:t>
      </w:r>
      <w:r w:rsidRPr="00EC5391">
        <w:rPr>
          <w:rFonts w:eastAsia="Times New Roman" w:cs="Arial"/>
          <w:color w:val="000000"/>
          <w:sz w:val="24"/>
          <w:szCs w:val="24"/>
          <w:lang w:val="en-US" w:eastAsia="en-IE"/>
        </w:rPr>
        <w:t>ncluding, in particular:</w:t>
      </w:r>
      <w:r w:rsidRPr="00EC5391">
        <w:rPr>
          <w:rFonts w:eastAsia="Times New Roman" w:cs="Arial"/>
          <w:color w:val="000000"/>
          <w:sz w:val="24"/>
          <w:szCs w:val="24"/>
          <w:lang w:val="en-US" w:eastAsia="en-IE"/>
        </w:rPr>
        <w:br/>
      </w:r>
    </w:p>
    <w:p w:rsidR="001120C1" w:rsidRPr="00EC5391" w:rsidRDefault="001120C1" w:rsidP="001120C1">
      <w:pPr>
        <w:pStyle w:val="ListParagraph"/>
        <w:numPr>
          <w:ilvl w:val="1"/>
          <w:numId w:val="23"/>
        </w:numPr>
        <w:spacing w:after="160" w:line="252" w:lineRule="auto"/>
        <w:rPr>
          <w:rFonts w:cs="Arial"/>
          <w:sz w:val="24"/>
          <w:szCs w:val="24"/>
        </w:rPr>
      </w:pPr>
      <w:r w:rsidRPr="00EC5391">
        <w:rPr>
          <w:rFonts w:cs="Arial"/>
          <w:sz w:val="24"/>
          <w:szCs w:val="24"/>
        </w:rPr>
        <w:t>Building relationships of trust and respect</w:t>
      </w:r>
    </w:p>
    <w:p w:rsidR="001120C1" w:rsidRPr="00EC5391" w:rsidRDefault="001120C1" w:rsidP="001120C1">
      <w:pPr>
        <w:pStyle w:val="ListParagraph"/>
        <w:numPr>
          <w:ilvl w:val="1"/>
          <w:numId w:val="23"/>
        </w:numPr>
        <w:spacing w:after="160" w:line="252" w:lineRule="auto"/>
        <w:rPr>
          <w:rFonts w:cs="Arial"/>
          <w:sz w:val="24"/>
          <w:szCs w:val="24"/>
        </w:rPr>
      </w:pPr>
      <w:r w:rsidRPr="00EC5391">
        <w:rPr>
          <w:rFonts w:cs="Arial"/>
          <w:sz w:val="24"/>
          <w:szCs w:val="24"/>
        </w:rPr>
        <w:t>Enhancing well-being and quality of life</w:t>
      </w:r>
    </w:p>
    <w:p w:rsidR="001120C1" w:rsidRPr="00EC5391" w:rsidRDefault="001120C1" w:rsidP="001120C1">
      <w:pPr>
        <w:pStyle w:val="ListParagraph"/>
        <w:numPr>
          <w:ilvl w:val="1"/>
          <w:numId w:val="23"/>
        </w:numPr>
        <w:shd w:val="clear" w:color="auto" w:fill="FFFFFF"/>
        <w:spacing w:after="300" w:line="300" w:lineRule="atLeast"/>
        <w:rPr>
          <w:rFonts w:eastAsia="Times New Roman" w:cs="Arial"/>
          <w:color w:val="000000"/>
          <w:sz w:val="24"/>
          <w:szCs w:val="24"/>
          <w:lang w:val="en-US" w:eastAsia="en-IE"/>
        </w:rPr>
      </w:pPr>
      <w:r w:rsidRPr="00EC5391">
        <w:rPr>
          <w:rFonts w:cs="Arial"/>
          <w:sz w:val="24"/>
          <w:szCs w:val="24"/>
        </w:rPr>
        <w:t>Empowering people individually and collectively</w:t>
      </w:r>
    </w:p>
    <w:p w:rsidR="001120C1" w:rsidRDefault="001120C1" w:rsidP="001120C1">
      <w:pPr>
        <w:pStyle w:val="ListParagraph"/>
        <w:numPr>
          <w:ilvl w:val="1"/>
          <w:numId w:val="23"/>
        </w:numPr>
        <w:spacing w:after="160" w:line="252" w:lineRule="auto"/>
        <w:rPr>
          <w:rFonts w:cs="Arial"/>
          <w:sz w:val="24"/>
          <w:szCs w:val="24"/>
        </w:rPr>
      </w:pPr>
      <w:r w:rsidRPr="00EC5391">
        <w:rPr>
          <w:rFonts w:cs="Arial"/>
          <w:sz w:val="24"/>
          <w:szCs w:val="24"/>
        </w:rPr>
        <w:t>Being accountable to the end-service users for the service provided</w:t>
      </w:r>
    </w:p>
    <w:p w:rsidR="00EC5391" w:rsidRDefault="00EC5391" w:rsidP="001120C1">
      <w:pPr>
        <w:pStyle w:val="ListParagraph"/>
        <w:numPr>
          <w:ilvl w:val="1"/>
          <w:numId w:val="23"/>
        </w:numPr>
        <w:spacing w:after="160" w:line="252" w:lineRule="auto"/>
        <w:rPr>
          <w:rFonts w:cs="Arial"/>
          <w:sz w:val="24"/>
          <w:szCs w:val="24"/>
        </w:rPr>
      </w:pPr>
      <w:r>
        <w:rPr>
          <w:rFonts w:cs="Arial"/>
          <w:sz w:val="24"/>
          <w:szCs w:val="24"/>
        </w:rPr>
        <w:t>Adherence to the highest ethical standards</w:t>
      </w:r>
    </w:p>
    <w:p w:rsidR="00EC5391" w:rsidRPr="00EC5391" w:rsidRDefault="00EC5391" w:rsidP="001120C1">
      <w:pPr>
        <w:pStyle w:val="ListParagraph"/>
        <w:numPr>
          <w:ilvl w:val="1"/>
          <w:numId w:val="23"/>
        </w:numPr>
        <w:spacing w:after="160" w:line="252" w:lineRule="auto"/>
        <w:rPr>
          <w:rFonts w:cs="Arial"/>
          <w:sz w:val="24"/>
          <w:szCs w:val="24"/>
        </w:rPr>
      </w:pPr>
      <w:r>
        <w:rPr>
          <w:rFonts w:cs="Arial"/>
          <w:sz w:val="24"/>
          <w:szCs w:val="24"/>
        </w:rPr>
        <w:t xml:space="preserve">Providing accessible and individually-tailored information </w:t>
      </w:r>
    </w:p>
    <w:p w:rsidR="001120C1" w:rsidRPr="00EC5391" w:rsidRDefault="001120C1" w:rsidP="001120C1">
      <w:pPr>
        <w:pStyle w:val="ListParagraph"/>
        <w:shd w:val="clear" w:color="auto" w:fill="FFFFFF"/>
        <w:spacing w:after="300" w:line="300" w:lineRule="atLeast"/>
        <w:rPr>
          <w:rFonts w:cs="Arial"/>
          <w:sz w:val="24"/>
          <w:szCs w:val="24"/>
        </w:rPr>
      </w:pPr>
    </w:p>
    <w:p w:rsidR="00495C54" w:rsidRPr="00EC5391" w:rsidRDefault="00F54B91" w:rsidP="00F54B91">
      <w:pPr>
        <w:pStyle w:val="ListParagraph"/>
        <w:numPr>
          <w:ilvl w:val="0"/>
          <w:numId w:val="19"/>
        </w:numPr>
        <w:shd w:val="clear" w:color="auto" w:fill="FFFFFF"/>
        <w:spacing w:after="300" w:line="300" w:lineRule="atLeast"/>
        <w:rPr>
          <w:rFonts w:cs="Arial"/>
          <w:sz w:val="24"/>
          <w:szCs w:val="24"/>
        </w:rPr>
      </w:pPr>
      <w:r w:rsidRPr="00EC5391">
        <w:rPr>
          <w:rFonts w:eastAsia="Times New Roman" w:cs="Arial"/>
          <w:color w:val="000000"/>
          <w:sz w:val="24"/>
          <w:szCs w:val="24"/>
          <w:lang w:val="en-US" w:eastAsia="en-IE"/>
        </w:rPr>
        <w:t>There is a</w:t>
      </w:r>
      <w:r w:rsidR="0059054F" w:rsidRPr="00EC5391">
        <w:rPr>
          <w:rFonts w:cs="Arial"/>
          <w:sz w:val="24"/>
          <w:szCs w:val="24"/>
        </w:rPr>
        <w:t>n acknowledgement and understanding o</w:t>
      </w:r>
      <w:r w:rsidRPr="00EC5391">
        <w:rPr>
          <w:rFonts w:cs="Arial"/>
          <w:sz w:val="24"/>
          <w:szCs w:val="24"/>
        </w:rPr>
        <w:t xml:space="preserve">n the part of both the commissioner and service provider </w:t>
      </w:r>
      <w:r w:rsidR="00177810" w:rsidRPr="00EC5391">
        <w:rPr>
          <w:rFonts w:cs="Arial"/>
          <w:sz w:val="24"/>
          <w:szCs w:val="24"/>
        </w:rPr>
        <w:t>o</w:t>
      </w:r>
      <w:r w:rsidR="0059054F" w:rsidRPr="00EC5391">
        <w:rPr>
          <w:rFonts w:cs="Arial"/>
          <w:sz w:val="24"/>
          <w:szCs w:val="24"/>
        </w:rPr>
        <w:t xml:space="preserve">f the </w:t>
      </w:r>
      <w:r w:rsidR="00495C54" w:rsidRPr="00EC5391">
        <w:rPr>
          <w:rFonts w:cs="Arial"/>
          <w:sz w:val="24"/>
          <w:szCs w:val="24"/>
        </w:rPr>
        <w:t xml:space="preserve">implications for </w:t>
      </w:r>
      <w:r w:rsidR="0059054F" w:rsidRPr="00EC5391">
        <w:rPr>
          <w:rFonts w:cs="Arial"/>
          <w:sz w:val="24"/>
          <w:szCs w:val="24"/>
        </w:rPr>
        <w:t xml:space="preserve">human, social and </w:t>
      </w:r>
      <w:r w:rsidR="0059054F" w:rsidRPr="00EC5391">
        <w:rPr>
          <w:rFonts w:cs="Arial"/>
          <w:sz w:val="24"/>
          <w:szCs w:val="24"/>
        </w:rPr>
        <w:lastRenderedPageBreak/>
        <w:t xml:space="preserve">community services </w:t>
      </w:r>
      <w:r w:rsidR="00495C54" w:rsidRPr="00EC5391">
        <w:rPr>
          <w:rFonts w:cs="Arial"/>
          <w:sz w:val="24"/>
          <w:szCs w:val="24"/>
        </w:rPr>
        <w:t>of international human rights charters and conventions</w:t>
      </w:r>
      <w:r w:rsidR="007B1424" w:rsidRPr="00EC5391">
        <w:rPr>
          <w:rStyle w:val="FootnoteReference"/>
          <w:rFonts w:cs="Arial"/>
          <w:sz w:val="24"/>
          <w:szCs w:val="24"/>
        </w:rPr>
        <w:footnoteReference w:id="2"/>
      </w:r>
      <w:r w:rsidR="00177810" w:rsidRPr="00EC5391">
        <w:rPr>
          <w:rFonts w:cs="Arial"/>
          <w:sz w:val="24"/>
          <w:szCs w:val="24"/>
        </w:rPr>
        <w:t xml:space="preserve"> and relevant legislation</w:t>
      </w:r>
      <w:r w:rsidR="003B7D70" w:rsidRPr="00EC5391">
        <w:rPr>
          <w:rFonts w:cs="Arial"/>
          <w:sz w:val="24"/>
          <w:szCs w:val="24"/>
        </w:rPr>
        <w:t>, in particular</w:t>
      </w:r>
      <w:r w:rsidR="00495C54" w:rsidRPr="00EC5391">
        <w:rPr>
          <w:rFonts w:cs="Arial"/>
          <w:sz w:val="24"/>
          <w:szCs w:val="24"/>
        </w:rPr>
        <w:t>:</w:t>
      </w:r>
    </w:p>
    <w:p w:rsidR="00495C54" w:rsidRPr="00EC5391" w:rsidRDefault="00495C54" w:rsidP="00495C54">
      <w:pPr>
        <w:pStyle w:val="ListParagraph"/>
        <w:shd w:val="clear" w:color="auto" w:fill="FFFFFF"/>
        <w:spacing w:after="300" w:line="300" w:lineRule="atLeast"/>
        <w:rPr>
          <w:rFonts w:cs="Arial"/>
          <w:sz w:val="24"/>
          <w:szCs w:val="24"/>
        </w:rPr>
      </w:pPr>
    </w:p>
    <w:p w:rsidR="00177810" w:rsidRPr="00EC5391" w:rsidRDefault="00495C54" w:rsidP="00495C54">
      <w:pPr>
        <w:pStyle w:val="ListParagraph"/>
        <w:numPr>
          <w:ilvl w:val="1"/>
          <w:numId w:val="11"/>
        </w:numPr>
        <w:spacing w:after="160" w:line="252" w:lineRule="auto"/>
        <w:rPr>
          <w:rFonts w:cs="Arial"/>
          <w:sz w:val="24"/>
          <w:szCs w:val="24"/>
        </w:rPr>
      </w:pPr>
      <w:r w:rsidRPr="00EC5391">
        <w:rPr>
          <w:rFonts w:cs="Arial"/>
          <w:sz w:val="24"/>
          <w:szCs w:val="24"/>
        </w:rPr>
        <w:t>Ensuring that the wi</w:t>
      </w:r>
      <w:r w:rsidR="00177810" w:rsidRPr="00EC5391">
        <w:rPr>
          <w:rFonts w:cs="Arial"/>
          <w:sz w:val="24"/>
          <w:szCs w:val="24"/>
        </w:rPr>
        <w:t>ll</w:t>
      </w:r>
      <w:r w:rsidRPr="00EC5391">
        <w:rPr>
          <w:rFonts w:cs="Arial"/>
          <w:sz w:val="24"/>
          <w:szCs w:val="24"/>
        </w:rPr>
        <w:t xml:space="preserve"> and preferences of individuals are </w:t>
      </w:r>
      <w:r w:rsidR="00177810" w:rsidRPr="00EC5391">
        <w:rPr>
          <w:rFonts w:cs="Arial"/>
          <w:sz w:val="24"/>
          <w:szCs w:val="24"/>
        </w:rPr>
        <w:t>given primacy</w:t>
      </w:r>
      <w:r w:rsidR="00177810" w:rsidRPr="00EC5391">
        <w:rPr>
          <w:rFonts w:cs="Arial"/>
          <w:sz w:val="24"/>
          <w:szCs w:val="24"/>
        </w:rPr>
        <w:br/>
      </w:r>
    </w:p>
    <w:p w:rsidR="00495C54" w:rsidRPr="00EC5391" w:rsidRDefault="00177810" w:rsidP="00495C54">
      <w:pPr>
        <w:pStyle w:val="ListParagraph"/>
        <w:numPr>
          <w:ilvl w:val="1"/>
          <w:numId w:val="11"/>
        </w:numPr>
        <w:spacing w:after="160" w:line="252" w:lineRule="auto"/>
        <w:rPr>
          <w:rFonts w:cs="Arial"/>
          <w:sz w:val="24"/>
          <w:szCs w:val="24"/>
        </w:rPr>
      </w:pPr>
      <w:r w:rsidRPr="00EC5391">
        <w:rPr>
          <w:rFonts w:cs="Arial"/>
          <w:sz w:val="24"/>
          <w:szCs w:val="24"/>
        </w:rPr>
        <w:t xml:space="preserve">Supporting the principle of self-determination  </w:t>
      </w:r>
      <w:r w:rsidRPr="00EC5391">
        <w:rPr>
          <w:rFonts w:cs="Arial"/>
          <w:sz w:val="24"/>
          <w:szCs w:val="24"/>
        </w:rPr>
        <w:br/>
      </w:r>
    </w:p>
    <w:p w:rsidR="00495C54" w:rsidRPr="00EC5391" w:rsidRDefault="00495C54" w:rsidP="00495C54">
      <w:pPr>
        <w:pStyle w:val="ListParagraph"/>
        <w:numPr>
          <w:ilvl w:val="1"/>
          <w:numId w:val="11"/>
        </w:numPr>
        <w:spacing w:after="160" w:line="252" w:lineRule="auto"/>
        <w:rPr>
          <w:rFonts w:cs="Arial"/>
          <w:sz w:val="24"/>
          <w:szCs w:val="24"/>
        </w:rPr>
      </w:pPr>
      <w:r w:rsidRPr="00EC5391">
        <w:rPr>
          <w:rFonts w:cs="Arial"/>
          <w:sz w:val="24"/>
          <w:szCs w:val="24"/>
        </w:rPr>
        <w:t>Promoting supported decision-making (in accordance with the Assisted Decision-making )Capacity) Act 2015)</w:t>
      </w:r>
      <w:r w:rsidR="007B1424" w:rsidRPr="00EC5391">
        <w:rPr>
          <w:rFonts w:cs="Arial"/>
          <w:sz w:val="24"/>
          <w:szCs w:val="24"/>
        </w:rPr>
        <w:t>;</w:t>
      </w:r>
    </w:p>
    <w:p w:rsidR="00495C54" w:rsidRPr="00EC5391" w:rsidRDefault="007B1424" w:rsidP="00495C54">
      <w:pPr>
        <w:numPr>
          <w:ilvl w:val="0"/>
          <w:numId w:val="12"/>
        </w:numPr>
        <w:autoSpaceDE w:val="0"/>
        <w:autoSpaceDN w:val="0"/>
        <w:adjustRightInd w:val="0"/>
        <w:spacing w:after="0" w:line="240" w:lineRule="auto"/>
        <w:rPr>
          <w:rFonts w:cs="Arial"/>
          <w:bCs/>
          <w:sz w:val="24"/>
          <w:szCs w:val="24"/>
        </w:rPr>
      </w:pPr>
      <w:r w:rsidRPr="00EC5391">
        <w:rPr>
          <w:rFonts w:cs="Arial"/>
          <w:bCs/>
          <w:sz w:val="24"/>
          <w:szCs w:val="24"/>
        </w:rPr>
        <w:t xml:space="preserve">There is an in-built </w:t>
      </w:r>
      <w:r w:rsidR="00495C54" w:rsidRPr="00EC5391">
        <w:rPr>
          <w:rFonts w:cs="Arial"/>
          <w:bCs/>
          <w:sz w:val="24"/>
          <w:szCs w:val="24"/>
        </w:rPr>
        <w:t xml:space="preserve"> commitment to engage in consultation with end-service users and </w:t>
      </w:r>
      <w:r w:rsidRPr="00EC5391">
        <w:rPr>
          <w:rFonts w:cs="Arial"/>
          <w:bCs/>
          <w:sz w:val="24"/>
          <w:szCs w:val="24"/>
        </w:rPr>
        <w:t xml:space="preserve">an </w:t>
      </w:r>
      <w:r w:rsidR="00495C54" w:rsidRPr="00EC5391">
        <w:rPr>
          <w:rFonts w:cs="Arial"/>
          <w:bCs/>
          <w:sz w:val="24"/>
          <w:szCs w:val="24"/>
        </w:rPr>
        <w:t>identification of mechanisms for so doing</w:t>
      </w:r>
      <w:r w:rsidRPr="00EC5391">
        <w:rPr>
          <w:rFonts w:cs="Arial"/>
          <w:bCs/>
          <w:sz w:val="24"/>
          <w:szCs w:val="24"/>
        </w:rPr>
        <w:t>;</w:t>
      </w:r>
      <w:r w:rsidR="00495C54" w:rsidRPr="00EC5391">
        <w:rPr>
          <w:rFonts w:cs="Arial"/>
          <w:bCs/>
          <w:sz w:val="24"/>
          <w:szCs w:val="24"/>
        </w:rPr>
        <w:br/>
      </w:r>
    </w:p>
    <w:p w:rsidR="00495C54" w:rsidRPr="00EC5391" w:rsidRDefault="007B1424" w:rsidP="00495C54">
      <w:pPr>
        <w:numPr>
          <w:ilvl w:val="0"/>
          <w:numId w:val="12"/>
        </w:numPr>
        <w:autoSpaceDE w:val="0"/>
        <w:autoSpaceDN w:val="0"/>
        <w:adjustRightInd w:val="0"/>
        <w:spacing w:after="0" w:line="240" w:lineRule="auto"/>
        <w:rPr>
          <w:rFonts w:cs="Arial"/>
          <w:bCs/>
          <w:sz w:val="24"/>
          <w:szCs w:val="24"/>
        </w:rPr>
      </w:pPr>
      <w:r w:rsidRPr="00EC5391">
        <w:rPr>
          <w:rFonts w:cs="Arial"/>
          <w:sz w:val="24"/>
          <w:szCs w:val="24"/>
        </w:rPr>
        <w:t>M</w:t>
      </w:r>
      <w:r w:rsidR="00495C54" w:rsidRPr="00EC5391">
        <w:rPr>
          <w:rFonts w:cs="Arial"/>
          <w:sz w:val="24"/>
          <w:szCs w:val="24"/>
        </w:rPr>
        <w:t>odels and structures and related implementation plans th</w:t>
      </w:r>
      <w:r w:rsidR="003B7D70" w:rsidRPr="00EC5391">
        <w:rPr>
          <w:rFonts w:cs="Arial"/>
          <w:sz w:val="24"/>
          <w:szCs w:val="24"/>
        </w:rPr>
        <w:t>at are likely to be applicable</w:t>
      </w:r>
      <w:r w:rsidRPr="00EC5391">
        <w:rPr>
          <w:rFonts w:cs="Arial"/>
          <w:sz w:val="24"/>
          <w:szCs w:val="24"/>
        </w:rPr>
        <w:t xml:space="preserve"> are clearly identified;</w:t>
      </w:r>
      <w:r w:rsidR="00495C54" w:rsidRPr="00EC5391">
        <w:rPr>
          <w:rFonts w:cs="Arial"/>
          <w:sz w:val="24"/>
          <w:szCs w:val="24"/>
        </w:rPr>
        <w:br/>
      </w:r>
    </w:p>
    <w:p w:rsidR="00132FAD" w:rsidRPr="00EC5391" w:rsidRDefault="003B7D70" w:rsidP="00495C54">
      <w:pPr>
        <w:numPr>
          <w:ilvl w:val="0"/>
          <w:numId w:val="12"/>
        </w:numPr>
        <w:autoSpaceDE w:val="0"/>
        <w:autoSpaceDN w:val="0"/>
        <w:adjustRightInd w:val="0"/>
        <w:spacing w:after="0" w:line="240" w:lineRule="auto"/>
        <w:rPr>
          <w:rFonts w:cs="Arial"/>
          <w:bCs/>
          <w:sz w:val="24"/>
          <w:szCs w:val="24"/>
        </w:rPr>
      </w:pPr>
      <w:r w:rsidRPr="00EC5391">
        <w:rPr>
          <w:rFonts w:cs="Arial"/>
          <w:sz w:val="24"/>
          <w:szCs w:val="24"/>
        </w:rPr>
        <w:t>I</w:t>
      </w:r>
      <w:r w:rsidR="00132FAD" w:rsidRPr="00EC5391">
        <w:rPr>
          <w:rFonts w:cs="Arial"/>
          <w:sz w:val="24"/>
          <w:szCs w:val="24"/>
        </w:rPr>
        <w:t>nnovative approach</w:t>
      </w:r>
      <w:r w:rsidRPr="00EC5391">
        <w:rPr>
          <w:rFonts w:cs="Arial"/>
          <w:sz w:val="24"/>
          <w:szCs w:val="24"/>
        </w:rPr>
        <w:t>es which are based on direct experience to date, outcomes evaluation and on relevant best practice in other jurisdictions</w:t>
      </w:r>
      <w:r w:rsidR="007B1424" w:rsidRPr="00EC5391">
        <w:rPr>
          <w:rFonts w:cs="Arial"/>
          <w:sz w:val="24"/>
          <w:szCs w:val="24"/>
        </w:rPr>
        <w:t xml:space="preserve"> are given due consideration;</w:t>
      </w:r>
      <w:r w:rsidR="00132FAD" w:rsidRPr="00EC5391">
        <w:rPr>
          <w:rFonts w:cs="Arial"/>
          <w:sz w:val="24"/>
          <w:szCs w:val="24"/>
        </w:rPr>
        <w:br/>
      </w:r>
    </w:p>
    <w:p w:rsidR="003B7D70" w:rsidRPr="00EC5391" w:rsidRDefault="003B7D70" w:rsidP="00132FAD">
      <w:pPr>
        <w:pStyle w:val="ListParagraph"/>
        <w:numPr>
          <w:ilvl w:val="0"/>
          <w:numId w:val="12"/>
        </w:numPr>
        <w:spacing w:after="240"/>
        <w:rPr>
          <w:rFonts w:cs="Arial"/>
          <w:sz w:val="24"/>
          <w:szCs w:val="24"/>
        </w:rPr>
      </w:pPr>
      <w:r w:rsidRPr="00EC5391">
        <w:rPr>
          <w:rFonts w:cs="Arial"/>
          <w:sz w:val="24"/>
          <w:szCs w:val="24"/>
        </w:rPr>
        <w:t>Maximising i</w:t>
      </w:r>
      <w:r w:rsidR="00132FAD" w:rsidRPr="00EC5391">
        <w:rPr>
          <w:rFonts w:cs="Arial"/>
          <w:sz w:val="24"/>
          <w:szCs w:val="24"/>
        </w:rPr>
        <w:t xml:space="preserve">nter-agency collaboration and joint working </w:t>
      </w:r>
      <w:r w:rsidRPr="00EC5391">
        <w:rPr>
          <w:rFonts w:cs="Arial"/>
          <w:sz w:val="24"/>
          <w:szCs w:val="24"/>
        </w:rPr>
        <w:t>toward</w:t>
      </w:r>
      <w:r w:rsidR="00F112CE">
        <w:rPr>
          <w:rFonts w:cs="Arial"/>
          <w:sz w:val="24"/>
          <w:szCs w:val="24"/>
        </w:rPr>
        <w:t>s</w:t>
      </w:r>
      <w:r w:rsidRPr="00EC5391">
        <w:rPr>
          <w:rFonts w:cs="Arial"/>
          <w:sz w:val="24"/>
          <w:szCs w:val="24"/>
        </w:rPr>
        <w:t xml:space="preserve"> fully seamless services</w:t>
      </w:r>
      <w:r w:rsidR="007B1424" w:rsidRPr="00EC5391">
        <w:rPr>
          <w:rFonts w:cs="Arial"/>
          <w:sz w:val="24"/>
          <w:szCs w:val="24"/>
        </w:rPr>
        <w:t xml:space="preserve"> </w:t>
      </w:r>
      <w:r w:rsidR="001120C1" w:rsidRPr="00EC5391">
        <w:rPr>
          <w:rFonts w:cs="Arial"/>
          <w:sz w:val="24"/>
          <w:szCs w:val="24"/>
        </w:rPr>
        <w:t>is at the core of delivery models;</w:t>
      </w:r>
      <w:r w:rsidRPr="00EC5391">
        <w:rPr>
          <w:rFonts w:cs="Arial"/>
          <w:sz w:val="24"/>
          <w:szCs w:val="24"/>
        </w:rPr>
        <w:br/>
      </w:r>
    </w:p>
    <w:p w:rsidR="001120C1" w:rsidRPr="00EC5391" w:rsidRDefault="001120C1" w:rsidP="00132FAD">
      <w:pPr>
        <w:pStyle w:val="ListParagraph"/>
        <w:numPr>
          <w:ilvl w:val="0"/>
          <w:numId w:val="12"/>
        </w:numPr>
        <w:spacing w:after="240"/>
        <w:rPr>
          <w:rFonts w:cs="Arial"/>
          <w:sz w:val="24"/>
          <w:szCs w:val="24"/>
        </w:rPr>
      </w:pPr>
      <w:r w:rsidRPr="00EC5391">
        <w:rPr>
          <w:rFonts w:cs="Arial"/>
          <w:sz w:val="24"/>
          <w:szCs w:val="24"/>
        </w:rPr>
        <w:t>There is an</w:t>
      </w:r>
      <w:r w:rsidR="003B7D70" w:rsidRPr="00EC5391">
        <w:rPr>
          <w:rFonts w:cs="Arial"/>
          <w:sz w:val="24"/>
          <w:szCs w:val="24"/>
        </w:rPr>
        <w:t xml:space="preserve"> acknowledgement of and clear understanding of changing needs across the life-cycle</w:t>
      </w:r>
      <w:r w:rsidRPr="00EC5391">
        <w:rPr>
          <w:rFonts w:cs="Arial"/>
          <w:sz w:val="24"/>
          <w:szCs w:val="24"/>
        </w:rPr>
        <w:t>;</w:t>
      </w:r>
      <w:r w:rsidRPr="00EC5391">
        <w:rPr>
          <w:rFonts w:cs="Arial"/>
          <w:sz w:val="24"/>
          <w:szCs w:val="24"/>
        </w:rPr>
        <w:br/>
      </w:r>
    </w:p>
    <w:p w:rsidR="00132FAD" w:rsidRPr="00EC5391" w:rsidRDefault="001120C1" w:rsidP="00132FAD">
      <w:pPr>
        <w:pStyle w:val="ListParagraph"/>
        <w:numPr>
          <w:ilvl w:val="0"/>
          <w:numId w:val="12"/>
        </w:numPr>
        <w:spacing w:after="240"/>
        <w:rPr>
          <w:rFonts w:cs="Arial"/>
          <w:sz w:val="24"/>
          <w:szCs w:val="24"/>
        </w:rPr>
      </w:pPr>
      <w:r w:rsidRPr="00EC5391">
        <w:rPr>
          <w:rFonts w:cs="Arial"/>
          <w:bCs/>
          <w:kern w:val="36"/>
          <w:sz w:val="24"/>
          <w:szCs w:val="24"/>
          <w:lang w:eastAsia="en-IE"/>
        </w:rPr>
        <w:t>There is provision for strong consultation mechanisms in order to ensure that the views and perspectives of all end-service users form an integral part of service delivery at planning, implementation and outcomes stages.</w:t>
      </w:r>
      <w:r w:rsidR="006A0DD8" w:rsidRPr="00EC5391">
        <w:rPr>
          <w:rStyle w:val="FootnoteReference"/>
          <w:rFonts w:cs="Arial"/>
          <w:bCs/>
          <w:kern w:val="36"/>
          <w:sz w:val="24"/>
          <w:szCs w:val="24"/>
          <w:lang w:eastAsia="en-IE"/>
        </w:rPr>
        <w:footnoteReference w:id="3"/>
      </w:r>
      <w:r w:rsidR="00132FAD" w:rsidRPr="00EC5391">
        <w:rPr>
          <w:rFonts w:cs="Arial"/>
          <w:b/>
          <w:iCs/>
          <w:sz w:val="24"/>
          <w:szCs w:val="24"/>
        </w:rPr>
        <w:br/>
      </w:r>
    </w:p>
    <w:p w:rsidR="003814FB" w:rsidRPr="00EC5391" w:rsidRDefault="00495C54" w:rsidP="00495C54">
      <w:pPr>
        <w:rPr>
          <w:rFonts w:cs="Arial"/>
          <w:b/>
          <w:sz w:val="24"/>
          <w:szCs w:val="24"/>
        </w:rPr>
      </w:pPr>
      <w:r w:rsidRPr="00EC5391">
        <w:rPr>
          <w:rFonts w:cs="Arial"/>
          <w:b/>
          <w:sz w:val="24"/>
          <w:szCs w:val="24"/>
        </w:rPr>
        <w:t xml:space="preserve">Overarching </w:t>
      </w:r>
      <w:r w:rsidR="003B7D70" w:rsidRPr="00EC5391">
        <w:rPr>
          <w:rFonts w:cs="Arial"/>
          <w:b/>
          <w:sz w:val="24"/>
          <w:szCs w:val="24"/>
        </w:rPr>
        <w:t>Factors</w:t>
      </w:r>
      <w:r w:rsidR="00EC5391">
        <w:rPr>
          <w:rFonts w:cs="Arial"/>
          <w:b/>
          <w:sz w:val="24"/>
          <w:szCs w:val="24"/>
        </w:rPr>
        <w:br/>
      </w:r>
      <w:r w:rsidR="00603312" w:rsidRPr="00EC5391">
        <w:rPr>
          <w:rFonts w:cs="Arial"/>
          <w:sz w:val="24"/>
          <w:szCs w:val="24"/>
        </w:rPr>
        <w:t>The</w:t>
      </w:r>
      <w:r w:rsidR="003B7D70" w:rsidRPr="00EC5391">
        <w:rPr>
          <w:rFonts w:cs="Arial"/>
          <w:sz w:val="24"/>
          <w:szCs w:val="24"/>
        </w:rPr>
        <w:t xml:space="preserve"> CIB identifies </w:t>
      </w:r>
      <w:r w:rsidR="00603312" w:rsidRPr="00EC5391">
        <w:rPr>
          <w:rFonts w:cs="Arial"/>
          <w:sz w:val="24"/>
          <w:szCs w:val="24"/>
        </w:rPr>
        <w:t xml:space="preserve">a number of overarching </w:t>
      </w:r>
      <w:r w:rsidR="003B7D70" w:rsidRPr="00EC5391">
        <w:rPr>
          <w:rFonts w:cs="Arial"/>
          <w:sz w:val="24"/>
          <w:szCs w:val="24"/>
        </w:rPr>
        <w:t xml:space="preserve">factors that should inform </w:t>
      </w:r>
      <w:r w:rsidR="00603312" w:rsidRPr="00EC5391">
        <w:rPr>
          <w:rFonts w:cs="Arial"/>
          <w:sz w:val="24"/>
          <w:szCs w:val="24"/>
        </w:rPr>
        <w:t>the commissioning of human, social and community services.</w:t>
      </w:r>
    </w:p>
    <w:p w:rsidR="003814FB" w:rsidRPr="00EC5391" w:rsidRDefault="00495C54" w:rsidP="00495C54">
      <w:pPr>
        <w:rPr>
          <w:rFonts w:cs="Arial"/>
          <w:b/>
          <w:i/>
          <w:sz w:val="24"/>
          <w:szCs w:val="24"/>
        </w:rPr>
      </w:pPr>
      <w:r w:rsidRPr="00EC5391">
        <w:rPr>
          <w:rFonts w:cs="Arial"/>
          <w:b/>
          <w:i/>
          <w:sz w:val="24"/>
          <w:szCs w:val="24"/>
        </w:rPr>
        <w:t xml:space="preserve">Consultation with End-Service Users </w:t>
      </w:r>
      <w:r w:rsidR="00EC5391">
        <w:rPr>
          <w:rFonts w:cs="Arial"/>
          <w:b/>
          <w:i/>
          <w:sz w:val="24"/>
          <w:szCs w:val="24"/>
        </w:rPr>
        <w:br/>
      </w:r>
      <w:r w:rsidRPr="00EC5391">
        <w:rPr>
          <w:rFonts w:cs="Arial"/>
          <w:sz w:val="24"/>
          <w:szCs w:val="24"/>
        </w:rPr>
        <w:t xml:space="preserve">It has long </w:t>
      </w:r>
      <w:r w:rsidR="001120C1" w:rsidRPr="00EC5391">
        <w:rPr>
          <w:rFonts w:cs="Arial"/>
          <w:sz w:val="24"/>
          <w:szCs w:val="24"/>
        </w:rPr>
        <w:t xml:space="preserve">been </w:t>
      </w:r>
      <w:r w:rsidRPr="00EC5391">
        <w:rPr>
          <w:rFonts w:cs="Arial"/>
          <w:sz w:val="24"/>
          <w:szCs w:val="24"/>
        </w:rPr>
        <w:t>acknowledged that consultation is the key to public services understanding the needs and expectations of their wide range of users</w:t>
      </w:r>
      <w:r w:rsidR="001120C1" w:rsidRPr="00EC5391">
        <w:rPr>
          <w:rFonts w:cs="Arial"/>
          <w:sz w:val="24"/>
          <w:szCs w:val="24"/>
        </w:rPr>
        <w:t xml:space="preserve">. </w:t>
      </w:r>
      <w:r w:rsidRPr="00EC5391">
        <w:rPr>
          <w:rFonts w:cs="Arial"/>
          <w:sz w:val="24"/>
          <w:szCs w:val="24"/>
        </w:rPr>
        <w:t>As far back as 2001, the OECD</w:t>
      </w:r>
      <w:r w:rsidRPr="00EC5391">
        <w:rPr>
          <w:rStyle w:val="FootnoteReference"/>
          <w:rFonts w:cs="Arial"/>
          <w:sz w:val="24"/>
          <w:szCs w:val="24"/>
        </w:rPr>
        <w:footnoteReference w:id="4"/>
      </w:r>
      <w:r w:rsidRPr="00EC5391">
        <w:rPr>
          <w:rFonts w:cs="Arial"/>
          <w:sz w:val="24"/>
          <w:szCs w:val="24"/>
        </w:rPr>
        <w:t xml:space="preserve"> noted that strengthening relations with citizens is a sound investment in better policy</w:t>
      </w:r>
      <w:r w:rsidR="001120C1" w:rsidRPr="00EC5391">
        <w:rPr>
          <w:rFonts w:cs="Arial"/>
          <w:sz w:val="24"/>
          <w:szCs w:val="24"/>
        </w:rPr>
        <w:t>-</w:t>
      </w:r>
      <w:r w:rsidRPr="00EC5391">
        <w:rPr>
          <w:rFonts w:cs="Arial"/>
          <w:sz w:val="24"/>
          <w:szCs w:val="24"/>
        </w:rPr>
        <w:t xml:space="preserve">making and a core element of good governance.  It allows government to tap new sources of policy-relevant ideas, information and resources when making decisions.  Equally important, it contributes to building public trust in government. </w:t>
      </w:r>
    </w:p>
    <w:p w:rsidR="003814FB" w:rsidRPr="00EC5391" w:rsidRDefault="001120C1" w:rsidP="00495C54">
      <w:pPr>
        <w:rPr>
          <w:rFonts w:cs="Arial"/>
          <w:bCs/>
          <w:kern w:val="36"/>
          <w:sz w:val="24"/>
          <w:szCs w:val="24"/>
          <w:lang w:eastAsia="en-IE"/>
        </w:rPr>
      </w:pPr>
      <w:r w:rsidRPr="00EC5391">
        <w:rPr>
          <w:rFonts w:cs="Arial"/>
          <w:sz w:val="24"/>
          <w:szCs w:val="24"/>
        </w:rPr>
        <w:t>Consultation processes should take full cognisance of the fact that t</w:t>
      </w:r>
      <w:r w:rsidR="003814FB" w:rsidRPr="00EC5391">
        <w:rPr>
          <w:rFonts w:cs="Arial"/>
          <w:sz w:val="24"/>
          <w:szCs w:val="24"/>
        </w:rPr>
        <w:t xml:space="preserve">he relationships between users and providers of public services are often considerably more complex than those between customers and providers in the private sector. People in receipt of publicly-funded  services for the most part have no alternatives and, therefore, cannot avail of the ’exit’ option in the sense of going elsewhere for the service. Also, the reality is that publicly-funded services are delivered within limited resources and trade-offs may be required between meeting the needs and expectations of different groups of users.  </w:t>
      </w:r>
    </w:p>
    <w:p w:rsidR="00495C54" w:rsidRPr="00EC5391" w:rsidRDefault="00495C54" w:rsidP="006A0DD8">
      <w:pPr>
        <w:rPr>
          <w:rFonts w:cs="Arial"/>
          <w:b/>
          <w:i/>
          <w:sz w:val="24"/>
          <w:szCs w:val="24"/>
        </w:rPr>
      </w:pPr>
      <w:r w:rsidRPr="00EC5391">
        <w:rPr>
          <w:rFonts w:cs="Arial"/>
          <w:b/>
          <w:i/>
          <w:sz w:val="24"/>
          <w:szCs w:val="24"/>
        </w:rPr>
        <w:t xml:space="preserve">Inter-agency </w:t>
      </w:r>
      <w:r w:rsidR="00F112CE">
        <w:rPr>
          <w:rFonts w:cs="Arial"/>
          <w:b/>
          <w:i/>
          <w:sz w:val="24"/>
          <w:szCs w:val="24"/>
        </w:rPr>
        <w:t>C</w:t>
      </w:r>
      <w:r w:rsidRPr="00EC5391">
        <w:rPr>
          <w:rFonts w:cs="Arial"/>
          <w:b/>
          <w:i/>
          <w:sz w:val="24"/>
          <w:szCs w:val="24"/>
        </w:rPr>
        <w:t>ollaboration</w:t>
      </w:r>
      <w:r w:rsidR="00EC5391">
        <w:rPr>
          <w:rFonts w:cs="Arial"/>
          <w:b/>
          <w:i/>
          <w:sz w:val="24"/>
          <w:szCs w:val="24"/>
        </w:rPr>
        <w:br/>
      </w:r>
      <w:proofErr w:type="gramStart"/>
      <w:r w:rsidRPr="00EC5391">
        <w:rPr>
          <w:rFonts w:cs="Arial"/>
          <w:sz w:val="24"/>
          <w:szCs w:val="24"/>
        </w:rPr>
        <w:t>While</w:t>
      </w:r>
      <w:proofErr w:type="gramEnd"/>
      <w:r w:rsidRPr="00EC5391">
        <w:rPr>
          <w:rFonts w:cs="Arial"/>
          <w:sz w:val="24"/>
          <w:szCs w:val="24"/>
        </w:rPr>
        <w:t xml:space="preserve"> the demand for services may sometimes outstrip supply, the shortfalls in the availability of services are sometimes compounded by </w:t>
      </w:r>
      <w:r w:rsidR="00F112CE">
        <w:rPr>
          <w:rFonts w:cs="Arial"/>
          <w:sz w:val="24"/>
          <w:szCs w:val="24"/>
        </w:rPr>
        <w:t xml:space="preserve">inadequate levels of </w:t>
      </w:r>
      <w:r w:rsidRPr="00EC5391">
        <w:rPr>
          <w:rFonts w:cs="Arial"/>
          <w:sz w:val="24"/>
          <w:szCs w:val="24"/>
        </w:rPr>
        <w:t>joint working</w:t>
      </w:r>
      <w:r w:rsidR="003814FB" w:rsidRPr="00EC5391">
        <w:rPr>
          <w:rFonts w:cs="Arial"/>
          <w:sz w:val="24"/>
          <w:szCs w:val="24"/>
        </w:rPr>
        <w:t xml:space="preserve">. </w:t>
      </w:r>
      <w:r w:rsidRPr="00EC5391">
        <w:rPr>
          <w:rFonts w:cs="Arial"/>
          <w:sz w:val="24"/>
          <w:szCs w:val="24"/>
        </w:rPr>
        <w:t xml:space="preserve">There has been much discussion about the need to co-ordinate and integrate services at the point of delivery. While much of this is provided for at policy level, there are notable shortfalls in actual practice. </w:t>
      </w:r>
      <w:r w:rsidR="003814FB" w:rsidRPr="00EC5391">
        <w:rPr>
          <w:rFonts w:cs="Arial"/>
          <w:sz w:val="24"/>
          <w:szCs w:val="24"/>
        </w:rPr>
        <w:t xml:space="preserve"> An</w:t>
      </w:r>
      <w:r w:rsidRPr="00EC5391">
        <w:rPr>
          <w:rFonts w:cs="Arial"/>
          <w:sz w:val="24"/>
          <w:szCs w:val="24"/>
        </w:rPr>
        <w:t xml:space="preserve"> ongoing problem with functionally organised </w:t>
      </w:r>
      <w:r w:rsidR="006A0DD8" w:rsidRPr="00EC5391">
        <w:rPr>
          <w:rFonts w:cs="Arial"/>
          <w:sz w:val="24"/>
          <w:szCs w:val="24"/>
        </w:rPr>
        <w:t xml:space="preserve">service </w:t>
      </w:r>
      <w:r w:rsidRPr="00EC5391">
        <w:rPr>
          <w:rFonts w:cs="Arial"/>
          <w:sz w:val="24"/>
          <w:szCs w:val="24"/>
        </w:rPr>
        <w:t xml:space="preserve">delivery </w:t>
      </w:r>
      <w:r w:rsidR="006A0DD8" w:rsidRPr="00EC5391">
        <w:rPr>
          <w:rFonts w:cs="Arial"/>
          <w:sz w:val="24"/>
          <w:szCs w:val="24"/>
        </w:rPr>
        <w:t xml:space="preserve">systems </w:t>
      </w:r>
      <w:r w:rsidRPr="00EC5391">
        <w:rPr>
          <w:rFonts w:cs="Arial"/>
          <w:sz w:val="24"/>
          <w:szCs w:val="24"/>
        </w:rPr>
        <w:t xml:space="preserve">is their </w:t>
      </w:r>
      <w:r w:rsidR="006A0DD8" w:rsidRPr="00EC5391">
        <w:rPr>
          <w:rFonts w:cs="Arial"/>
          <w:sz w:val="24"/>
          <w:szCs w:val="24"/>
        </w:rPr>
        <w:t xml:space="preserve">lack of capacity </w:t>
      </w:r>
      <w:r w:rsidRPr="00EC5391">
        <w:rPr>
          <w:rFonts w:cs="Arial"/>
          <w:sz w:val="24"/>
          <w:szCs w:val="24"/>
        </w:rPr>
        <w:t xml:space="preserve">to deliver packages of integrated services </w:t>
      </w:r>
      <w:r w:rsidR="006A0DD8" w:rsidRPr="00EC5391">
        <w:rPr>
          <w:rFonts w:cs="Arial"/>
          <w:sz w:val="24"/>
          <w:szCs w:val="24"/>
        </w:rPr>
        <w:t>in response to assessed needs.</w:t>
      </w:r>
      <w:r w:rsidRPr="00EC5391">
        <w:rPr>
          <w:rFonts w:cs="Arial"/>
          <w:sz w:val="24"/>
          <w:szCs w:val="24"/>
        </w:rPr>
        <w:t xml:space="preserve"> The multiplicity of agencies and organisations</w:t>
      </w:r>
      <w:r w:rsidR="003814FB" w:rsidRPr="00EC5391">
        <w:rPr>
          <w:rFonts w:cs="Arial"/>
          <w:sz w:val="24"/>
          <w:szCs w:val="24"/>
        </w:rPr>
        <w:t xml:space="preserve"> (statutory, NGO and private) involved in the delivery </w:t>
      </w:r>
      <w:r w:rsidR="0064621D" w:rsidRPr="00EC5391">
        <w:rPr>
          <w:rFonts w:cs="Arial"/>
          <w:sz w:val="24"/>
          <w:szCs w:val="24"/>
        </w:rPr>
        <w:t xml:space="preserve">of human, social and community services render it difficult to provide </w:t>
      </w:r>
      <w:r w:rsidRPr="00EC5391">
        <w:rPr>
          <w:rFonts w:cs="Arial"/>
          <w:sz w:val="24"/>
          <w:szCs w:val="24"/>
        </w:rPr>
        <w:t xml:space="preserve">citizens with a </w:t>
      </w:r>
      <w:r w:rsidRPr="00EC5391">
        <w:rPr>
          <w:rFonts w:cs="Arial"/>
          <w:i/>
          <w:iCs/>
          <w:sz w:val="24"/>
          <w:szCs w:val="24"/>
        </w:rPr>
        <w:t xml:space="preserve">seamless </w:t>
      </w:r>
      <w:r w:rsidRPr="00EC5391">
        <w:rPr>
          <w:rFonts w:cs="Arial"/>
          <w:iCs/>
          <w:sz w:val="24"/>
          <w:szCs w:val="24"/>
        </w:rPr>
        <w:t>service</w:t>
      </w:r>
      <w:r w:rsidR="0064621D" w:rsidRPr="00EC5391">
        <w:rPr>
          <w:rFonts w:cs="Arial"/>
          <w:iCs/>
          <w:sz w:val="24"/>
          <w:szCs w:val="24"/>
        </w:rPr>
        <w:t>.</w:t>
      </w:r>
      <w:r w:rsidRPr="00EC5391">
        <w:rPr>
          <w:rFonts w:cs="Arial"/>
          <w:color w:val="FF0000"/>
          <w:sz w:val="24"/>
          <w:szCs w:val="24"/>
        </w:rPr>
        <w:t xml:space="preserve"> </w:t>
      </w:r>
      <w:r w:rsidR="006A0DD8" w:rsidRPr="00EC5391">
        <w:rPr>
          <w:rFonts w:cs="Arial"/>
          <w:sz w:val="24"/>
          <w:szCs w:val="24"/>
        </w:rPr>
        <w:t xml:space="preserve">Each public service agency has its own rules, regulations and legislative basis and one statutory agency cannot override the statutory responsibilities of another. </w:t>
      </w:r>
      <w:r w:rsidRPr="00EC5391">
        <w:rPr>
          <w:rFonts w:cs="Arial"/>
          <w:sz w:val="24"/>
          <w:szCs w:val="24"/>
        </w:rPr>
        <w:t xml:space="preserve">Not surprisingly, members of the public sometimes find it difficult to know where responsibility for different services lies and where their search for information and services should begin.  </w:t>
      </w:r>
    </w:p>
    <w:p w:rsidR="0064621D" w:rsidRPr="00EC5391" w:rsidRDefault="00495C54" w:rsidP="0064621D">
      <w:pPr>
        <w:rPr>
          <w:rFonts w:cs="Arial"/>
          <w:b/>
          <w:i/>
          <w:sz w:val="24"/>
          <w:szCs w:val="24"/>
        </w:rPr>
      </w:pPr>
      <w:r w:rsidRPr="00EC5391">
        <w:rPr>
          <w:rFonts w:cs="Arial"/>
          <w:b/>
          <w:i/>
          <w:sz w:val="24"/>
          <w:szCs w:val="24"/>
        </w:rPr>
        <w:t xml:space="preserve">Assessment of </w:t>
      </w:r>
      <w:r w:rsidR="00F112CE">
        <w:rPr>
          <w:rFonts w:cs="Arial"/>
          <w:b/>
          <w:i/>
          <w:sz w:val="24"/>
          <w:szCs w:val="24"/>
        </w:rPr>
        <w:t>N</w:t>
      </w:r>
      <w:r w:rsidRPr="00EC5391">
        <w:rPr>
          <w:rFonts w:cs="Arial"/>
          <w:b/>
          <w:i/>
          <w:sz w:val="24"/>
          <w:szCs w:val="24"/>
        </w:rPr>
        <w:t xml:space="preserve">eeds </w:t>
      </w:r>
      <w:r w:rsidR="00BA0026" w:rsidRPr="00EC5391">
        <w:rPr>
          <w:rFonts w:cs="Arial"/>
          <w:b/>
          <w:i/>
          <w:sz w:val="24"/>
          <w:szCs w:val="24"/>
        </w:rPr>
        <w:br/>
      </w:r>
      <w:r w:rsidRPr="00EC5391">
        <w:rPr>
          <w:rFonts w:cs="Arial"/>
          <w:sz w:val="24"/>
          <w:szCs w:val="24"/>
        </w:rPr>
        <w:t xml:space="preserve">The assessment of needs is </w:t>
      </w:r>
      <w:r w:rsidR="0064621D" w:rsidRPr="00EC5391">
        <w:rPr>
          <w:rFonts w:cs="Arial"/>
          <w:sz w:val="24"/>
          <w:szCs w:val="24"/>
        </w:rPr>
        <w:t xml:space="preserve">evidently a crucial </w:t>
      </w:r>
      <w:r w:rsidRPr="00EC5391">
        <w:rPr>
          <w:rFonts w:cs="Arial"/>
          <w:sz w:val="24"/>
          <w:szCs w:val="24"/>
        </w:rPr>
        <w:t xml:space="preserve">first stage </w:t>
      </w:r>
      <w:r w:rsidR="0064621D" w:rsidRPr="00EC5391">
        <w:rPr>
          <w:rFonts w:cs="Arial"/>
          <w:sz w:val="24"/>
          <w:szCs w:val="24"/>
        </w:rPr>
        <w:t>in the co</w:t>
      </w:r>
      <w:r w:rsidRPr="00EC5391">
        <w:rPr>
          <w:rFonts w:cs="Arial"/>
          <w:sz w:val="24"/>
          <w:szCs w:val="24"/>
        </w:rPr>
        <w:t>mmissioning</w:t>
      </w:r>
      <w:r w:rsidR="0064621D" w:rsidRPr="00EC5391">
        <w:rPr>
          <w:rFonts w:cs="Arial"/>
          <w:sz w:val="24"/>
          <w:szCs w:val="24"/>
        </w:rPr>
        <w:t xml:space="preserve"> process</w:t>
      </w:r>
      <w:r w:rsidRPr="00EC5391">
        <w:rPr>
          <w:rFonts w:cs="Arial"/>
          <w:sz w:val="24"/>
          <w:szCs w:val="24"/>
        </w:rPr>
        <w:t xml:space="preserve">. It involves assessing </w:t>
      </w:r>
      <w:r w:rsidR="0064621D" w:rsidRPr="00EC5391">
        <w:rPr>
          <w:rFonts w:cs="Arial"/>
          <w:sz w:val="24"/>
          <w:szCs w:val="24"/>
        </w:rPr>
        <w:t xml:space="preserve">both </w:t>
      </w:r>
      <w:r w:rsidRPr="00EC5391">
        <w:rPr>
          <w:rFonts w:cs="Arial"/>
          <w:sz w:val="24"/>
          <w:szCs w:val="24"/>
        </w:rPr>
        <w:t>population/care group needs and examining best practice for the delivery of high quality, cost effective services and approaches to meeting these needs</w:t>
      </w:r>
      <w:r w:rsidR="0064621D" w:rsidRPr="00EC5391">
        <w:rPr>
          <w:rFonts w:cs="Arial"/>
          <w:sz w:val="24"/>
          <w:szCs w:val="24"/>
        </w:rPr>
        <w:t xml:space="preserve">. The experience of CISs and CIPS is that service providers frequently tend to define need in line with the type of entitlement or service they offer.  It </w:t>
      </w:r>
      <w:r w:rsidR="00BA0026" w:rsidRPr="00EC5391">
        <w:rPr>
          <w:rFonts w:cs="Arial"/>
          <w:sz w:val="24"/>
          <w:szCs w:val="24"/>
        </w:rPr>
        <w:t xml:space="preserve">is sometimes </w:t>
      </w:r>
      <w:r w:rsidR="0064621D" w:rsidRPr="00EC5391">
        <w:rPr>
          <w:rFonts w:cs="Arial"/>
          <w:sz w:val="24"/>
          <w:szCs w:val="24"/>
        </w:rPr>
        <w:t>the case that when service providers come across cases for which they have nothing to offer, there may be an implicit assumption that a person’s needs w</w:t>
      </w:r>
      <w:r w:rsidR="006A0DD8" w:rsidRPr="00EC5391">
        <w:rPr>
          <w:rFonts w:cs="Arial"/>
          <w:sz w:val="24"/>
          <w:szCs w:val="24"/>
        </w:rPr>
        <w:t xml:space="preserve">ould </w:t>
      </w:r>
      <w:r w:rsidR="0064621D" w:rsidRPr="00EC5391">
        <w:rPr>
          <w:rFonts w:cs="Arial"/>
          <w:sz w:val="24"/>
          <w:szCs w:val="24"/>
        </w:rPr>
        <w:t>be met elsewhere, by another agency or through some other entitlement.  While this is sometimes the case, it is not always so.  Also, a person may frequently require the co-ordination of several</w:t>
      </w:r>
      <w:r w:rsidR="006A0DD8" w:rsidRPr="00EC5391">
        <w:rPr>
          <w:rFonts w:cs="Arial"/>
          <w:sz w:val="24"/>
          <w:szCs w:val="24"/>
        </w:rPr>
        <w:t xml:space="preserve"> service/support </w:t>
      </w:r>
      <w:r w:rsidR="0064621D" w:rsidRPr="00EC5391">
        <w:rPr>
          <w:rFonts w:cs="Arial"/>
          <w:sz w:val="24"/>
          <w:szCs w:val="24"/>
        </w:rPr>
        <w:t>elements to meet a particular service need</w:t>
      </w:r>
      <w:r w:rsidR="006A0DD8" w:rsidRPr="00EC5391">
        <w:rPr>
          <w:rFonts w:cs="Arial"/>
          <w:sz w:val="24"/>
          <w:szCs w:val="24"/>
        </w:rPr>
        <w:t>, e.g., a person experiencing mental health difficulties</w:t>
      </w:r>
      <w:r w:rsidR="0064621D" w:rsidRPr="00EC5391">
        <w:rPr>
          <w:rFonts w:cs="Arial"/>
          <w:sz w:val="24"/>
          <w:szCs w:val="24"/>
        </w:rPr>
        <w:t xml:space="preserve">. </w:t>
      </w:r>
    </w:p>
    <w:p w:rsidR="00CA5410" w:rsidRPr="00EC5391" w:rsidRDefault="006A0DD8" w:rsidP="00CA5410">
      <w:pPr>
        <w:rPr>
          <w:rFonts w:cs="Arial"/>
          <w:b/>
          <w:i/>
          <w:sz w:val="24"/>
          <w:szCs w:val="24"/>
        </w:rPr>
      </w:pPr>
      <w:r w:rsidRPr="00EC5391">
        <w:rPr>
          <w:rFonts w:cs="Arial"/>
          <w:b/>
          <w:i/>
          <w:sz w:val="24"/>
          <w:szCs w:val="24"/>
        </w:rPr>
        <w:t xml:space="preserve">Identifying </w:t>
      </w:r>
      <w:r w:rsidR="00495C54" w:rsidRPr="00EC5391">
        <w:rPr>
          <w:rFonts w:cs="Arial"/>
          <w:b/>
          <w:i/>
          <w:sz w:val="24"/>
          <w:szCs w:val="24"/>
        </w:rPr>
        <w:t>Outcomes</w:t>
      </w:r>
      <w:r w:rsidR="00BA0026" w:rsidRPr="00EC5391">
        <w:rPr>
          <w:rFonts w:cs="Arial"/>
          <w:b/>
          <w:i/>
          <w:sz w:val="24"/>
          <w:szCs w:val="24"/>
        </w:rPr>
        <w:br/>
      </w:r>
      <w:proofErr w:type="gramStart"/>
      <w:r w:rsidRPr="00EC5391">
        <w:rPr>
          <w:rFonts w:cs="Arial"/>
          <w:sz w:val="24"/>
          <w:szCs w:val="24"/>
        </w:rPr>
        <w:t>This</w:t>
      </w:r>
      <w:proofErr w:type="gramEnd"/>
      <w:r w:rsidRPr="00EC5391">
        <w:rPr>
          <w:rFonts w:cs="Arial"/>
          <w:sz w:val="24"/>
          <w:szCs w:val="24"/>
        </w:rPr>
        <w:t xml:space="preserve"> is an important consideration in the commissioning process</w:t>
      </w:r>
      <w:r w:rsidR="00CA5410" w:rsidRPr="00EC5391">
        <w:rPr>
          <w:rFonts w:cs="Arial"/>
          <w:sz w:val="24"/>
          <w:szCs w:val="24"/>
        </w:rPr>
        <w:t xml:space="preserve"> in that service models are designed and developed on the basis of achieving outcomes in accordance with assessed needs.</w:t>
      </w:r>
    </w:p>
    <w:p w:rsidR="00CA5410" w:rsidRPr="00EC5391" w:rsidRDefault="00CA5410" w:rsidP="00CA5410">
      <w:pPr>
        <w:rPr>
          <w:rFonts w:cs="Arial"/>
          <w:sz w:val="24"/>
          <w:szCs w:val="24"/>
        </w:rPr>
      </w:pPr>
      <w:r w:rsidRPr="00EC5391">
        <w:rPr>
          <w:rFonts w:cs="Arial"/>
          <w:sz w:val="24"/>
          <w:szCs w:val="24"/>
        </w:rPr>
        <w:t>A difficulty arises, however, in that measuring and demonstrating outcomes can be challenging in many situations. For example, change in health and wellbeing may be difficult to measure and may be very gradual over many years. Also, there may insufficient research evidence to demonstrate outcomes one way or another. Even when outcomes can easily be specified and measured and positive effects can be seen, it can be difficult to know what impact the service had and what other factors may have had an influence.</w:t>
      </w:r>
      <w:r w:rsidR="00F112CE">
        <w:rPr>
          <w:rFonts w:cs="Arial"/>
          <w:sz w:val="24"/>
          <w:szCs w:val="24"/>
        </w:rPr>
        <w:t xml:space="preserve"> Therefore, requirements for effective monitoring and evaluation should be an essential element in the commissioning process. </w:t>
      </w:r>
    </w:p>
    <w:p w:rsidR="00F8210B" w:rsidRPr="00E80276" w:rsidRDefault="00495C54" w:rsidP="00F112CE">
      <w:pPr>
        <w:rPr>
          <w:rFonts w:cs="Arial"/>
          <w:b/>
          <w:i/>
          <w:sz w:val="24"/>
          <w:szCs w:val="24"/>
        </w:rPr>
      </w:pPr>
      <w:r w:rsidRPr="00EC5391">
        <w:rPr>
          <w:rFonts w:cs="Arial"/>
          <w:b/>
          <w:i/>
          <w:sz w:val="24"/>
          <w:szCs w:val="24"/>
        </w:rPr>
        <w:t>Monitoring and Evaluation</w:t>
      </w:r>
      <w:r w:rsidR="00E80276">
        <w:rPr>
          <w:rFonts w:cs="Arial"/>
          <w:b/>
          <w:i/>
          <w:sz w:val="24"/>
          <w:szCs w:val="24"/>
        </w:rPr>
        <w:br/>
      </w:r>
      <w:r w:rsidR="00F112CE" w:rsidRPr="00F112CE">
        <w:rPr>
          <w:rFonts w:cs="Arial"/>
          <w:sz w:val="24"/>
          <w:szCs w:val="24"/>
        </w:rPr>
        <w:t>I</w:t>
      </w:r>
      <w:r w:rsidR="00CA5410" w:rsidRPr="00F112CE">
        <w:rPr>
          <w:rFonts w:cs="Arial"/>
          <w:sz w:val="24"/>
          <w:szCs w:val="24"/>
        </w:rPr>
        <w:t>t</w:t>
      </w:r>
      <w:r w:rsidR="00CA5410" w:rsidRPr="00EC5391">
        <w:rPr>
          <w:rFonts w:cs="Arial"/>
          <w:sz w:val="24"/>
          <w:szCs w:val="24"/>
        </w:rPr>
        <w:t xml:space="preserve"> </w:t>
      </w:r>
      <w:r w:rsidRPr="00EC5391">
        <w:rPr>
          <w:rFonts w:cs="Arial"/>
          <w:sz w:val="24"/>
          <w:szCs w:val="24"/>
        </w:rPr>
        <w:t xml:space="preserve">is </w:t>
      </w:r>
      <w:r w:rsidR="00CA5410" w:rsidRPr="00EC5391">
        <w:rPr>
          <w:rFonts w:cs="Arial"/>
          <w:sz w:val="24"/>
          <w:szCs w:val="24"/>
        </w:rPr>
        <w:t xml:space="preserve">frequently the case that evaluation only takes place </w:t>
      </w:r>
      <w:r w:rsidR="00F8210B" w:rsidRPr="00EC5391">
        <w:rPr>
          <w:rFonts w:cs="Arial"/>
          <w:sz w:val="24"/>
          <w:szCs w:val="24"/>
        </w:rPr>
        <w:t xml:space="preserve">at </w:t>
      </w:r>
      <w:r w:rsidRPr="00EC5391">
        <w:rPr>
          <w:rFonts w:cs="Arial"/>
          <w:sz w:val="24"/>
          <w:szCs w:val="24"/>
        </w:rPr>
        <w:t>the final stage of Commissioning</w:t>
      </w:r>
      <w:r w:rsidR="00F112CE">
        <w:rPr>
          <w:rFonts w:cs="Arial"/>
          <w:sz w:val="24"/>
          <w:szCs w:val="24"/>
        </w:rPr>
        <w:t xml:space="preserve"> in order </w:t>
      </w:r>
      <w:r w:rsidRPr="00EC5391">
        <w:rPr>
          <w:rFonts w:cs="Arial"/>
          <w:sz w:val="24"/>
          <w:szCs w:val="24"/>
        </w:rPr>
        <w:t xml:space="preserve">to assess progress and </w:t>
      </w:r>
      <w:r w:rsidR="00F8210B" w:rsidRPr="00EC5391">
        <w:rPr>
          <w:rFonts w:cs="Arial"/>
          <w:sz w:val="24"/>
          <w:szCs w:val="24"/>
        </w:rPr>
        <w:t xml:space="preserve">inform future decision </w:t>
      </w:r>
      <w:r w:rsidRPr="00EC5391">
        <w:rPr>
          <w:rFonts w:cs="Arial"/>
          <w:sz w:val="24"/>
          <w:szCs w:val="24"/>
        </w:rPr>
        <w:t>decision-m</w:t>
      </w:r>
      <w:r w:rsidR="00F8210B" w:rsidRPr="00EC5391">
        <w:rPr>
          <w:rFonts w:cs="Arial"/>
          <w:sz w:val="24"/>
          <w:szCs w:val="24"/>
        </w:rPr>
        <w:t>aking</w:t>
      </w:r>
      <w:r w:rsidRPr="00EC5391">
        <w:rPr>
          <w:rFonts w:cs="Arial"/>
          <w:sz w:val="24"/>
          <w:szCs w:val="24"/>
        </w:rPr>
        <w:t>.</w:t>
      </w:r>
      <w:r w:rsidR="00F112CE">
        <w:rPr>
          <w:rFonts w:cs="Arial"/>
          <w:sz w:val="24"/>
          <w:szCs w:val="24"/>
        </w:rPr>
        <w:t xml:space="preserve"> Ongoing m</w:t>
      </w:r>
      <w:r w:rsidR="00F8210B" w:rsidRPr="00EC5391">
        <w:rPr>
          <w:rFonts w:cs="Arial"/>
          <w:sz w:val="24"/>
          <w:szCs w:val="24"/>
        </w:rPr>
        <w:t xml:space="preserve">echanisms for assessing outcomes should ideally be based on an action research approach where evaluation is embedded in the service delivery process from the outset  This approach to evaluation typically requires involvement by researchers at all stages of  the process – clarifying programme objectives, programme initiation, operationalisation and implementation and identifying outcomes (both planned and unintended). </w:t>
      </w:r>
    </w:p>
    <w:p w:rsidR="00F8210B" w:rsidRPr="00EC5391" w:rsidRDefault="00F8210B" w:rsidP="00F8210B">
      <w:pPr>
        <w:spacing w:after="0" w:line="240" w:lineRule="auto"/>
        <w:rPr>
          <w:rFonts w:cs="Times New Roman"/>
          <w:sz w:val="24"/>
          <w:szCs w:val="24"/>
          <w:lang w:eastAsia="en-IE"/>
        </w:rPr>
      </w:pPr>
    </w:p>
    <w:p w:rsidR="00C024D7" w:rsidRPr="00EC5391" w:rsidRDefault="0064621D" w:rsidP="00BA0026">
      <w:pPr>
        <w:shd w:val="clear" w:color="auto" w:fill="FFFFFF"/>
        <w:spacing w:after="300" w:line="300" w:lineRule="atLeast"/>
        <w:rPr>
          <w:rFonts w:eastAsia="Times New Roman" w:cs="Arial"/>
          <w:b/>
          <w:color w:val="000000"/>
          <w:sz w:val="24"/>
          <w:szCs w:val="24"/>
          <w:lang w:val="en-US" w:eastAsia="en-IE"/>
        </w:rPr>
      </w:pPr>
      <w:r w:rsidRPr="00EC5391">
        <w:rPr>
          <w:rFonts w:eastAsia="Times New Roman" w:cs="Arial"/>
          <w:b/>
          <w:color w:val="000000"/>
          <w:sz w:val="24"/>
          <w:szCs w:val="24"/>
          <w:lang w:val="en-US" w:eastAsia="en-IE"/>
        </w:rPr>
        <w:t>Stages in the Commissioning Process</w:t>
      </w:r>
      <w:r w:rsidR="00BA0026" w:rsidRPr="00EC5391">
        <w:rPr>
          <w:rFonts w:eastAsia="Times New Roman" w:cs="Arial"/>
          <w:b/>
          <w:color w:val="000000"/>
          <w:sz w:val="24"/>
          <w:szCs w:val="24"/>
          <w:lang w:val="en-US" w:eastAsia="en-IE"/>
        </w:rPr>
        <w:br/>
      </w:r>
      <w:r w:rsidR="00491D99" w:rsidRPr="00EC5391">
        <w:rPr>
          <w:rFonts w:eastAsia="Times New Roman" w:cs="Arial"/>
          <w:color w:val="000000"/>
          <w:sz w:val="24"/>
          <w:szCs w:val="24"/>
          <w:lang w:val="en-US" w:eastAsia="en-IE"/>
        </w:rPr>
        <w:t>As stated, in the background consultation documents, the commissioning approach to public service delivery should follow a specific sequence:</w:t>
      </w:r>
      <w:r w:rsidR="00BA0026" w:rsidRPr="00EC5391">
        <w:rPr>
          <w:rFonts w:eastAsia="Times New Roman" w:cs="Arial"/>
          <w:b/>
          <w:color w:val="000000"/>
          <w:sz w:val="24"/>
          <w:szCs w:val="24"/>
          <w:lang w:val="en-US" w:eastAsia="en-IE"/>
        </w:rPr>
        <w:t xml:space="preserve"> </w:t>
      </w:r>
      <w:r w:rsidR="00C024D7" w:rsidRPr="00EC5391">
        <w:rPr>
          <w:rFonts w:cs="Arial"/>
          <w:sz w:val="24"/>
          <w:szCs w:val="24"/>
        </w:rPr>
        <w:t>In following th</w:t>
      </w:r>
      <w:r w:rsidR="00BA0026" w:rsidRPr="00EC5391">
        <w:rPr>
          <w:rFonts w:cs="Arial"/>
          <w:sz w:val="24"/>
          <w:szCs w:val="24"/>
        </w:rPr>
        <w:t>at</w:t>
      </w:r>
      <w:r w:rsidR="00C024D7" w:rsidRPr="00EC5391">
        <w:rPr>
          <w:rFonts w:cs="Arial"/>
          <w:sz w:val="24"/>
          <w:szCs w:val="24"/>
        </w:rPr>
        <w:t xml:space="preserve"> sequencing, the commissioning process should include provision for:</w:t>
      </w:r>
    </w:p>
    <w:p w:rsidR="00C024D7" w:rsidRPr="00EC5391" w:rsidRDefault="00C024D7" w:rsidP="00C024D7">
      <w:pPr>
        <w:pStyle w:val="ListParagraph"/>
        <w:numPr>
          <w:ilvl w:val="0"/>
          <w:numId w:val="14"/>
        </w:numPr>
        <w:rPr>
          <w:rFonts w:cs="Arial"/>
          <w:sz w:val="24"/>
          <w:szCs w:val="24"/>
        </w:rPr>
      </w:pPr>
      <w:r w:rsidRPr="00EC5391">
        <w:rPr>
          <w:rFonts w:cs="Arial"/>
          <w:sz w:val="24"/>
          <w:szCs w:val="24"/>
        </w:rPr>
        <w:t xml:space="preserve"> Identifying clearly the target population</w:t>
      </w:r>
      <w:r w:rsidRPr="00EC5391">
        <w:rPr>
          <w:rFonts w:cs="Arial"/>
          <w:sz w:val="24"/>
          <w:szCs w:val="24"/>
        </w:rPr>
        <w:br/>
      </w:r>
    </w:p>
    <w:p w:rsidR="00C024D7" w:rsidRPr="00EC5391" w:rsidRDefault="00C024D7" w:rsidP="00C024D7">
      <w:pPr>
        <w:pStyle w:val="ListParagraph"/>
        <w:numPr>
          <w:ilvl w:val="0"/>
          <w:numId w:val="14"/>
        </w:numPr>
        <w:rPr>
          <w:rFonts w:cs="Arial"/>
          <w:sz w:val="24"/>
          <w:szCs w:val="24"/>
        </w:rPr>
      </w:pPr>
      <w:r w:rsidRPr="00EC5391">
        <w:rPr>
          <w:rFonts w:cs="Arial"/>
          <w:sz w:val="24"/>
          <w:szCs w:val="24"/>
        </w:rPr>
        <w:t>Carrying out a comprehensive assessment of needs in respect of that population</w:t>
      </w:r>
      <w:r w:rsidRPr="00EC5391">
        <w:rPr>
          <w:rFonts w:cs="Arial"/>
          <w:sz w:val="24"/>
          <w:szCs w:val="24"/>
        </w:rPr>
        <w:br/>
      </w:r>
    </w:p>
    <w:p w:rsidR="00945605" w:rsidRPr="00EC5391" w:rsidRDefault="00C024D7" w:rsidP="00C024D7">
      <w:pPr>
        <w:pStyle w:val="ListParagraph"/>
        <w:numPr>
          <w:ilvl w:val="0"/>
          <w:numId w:val="14"/>
        </w:numPr>
        <w:rPr>
          <w:rFonts w:cs="Arial"/>
          <w:sz w:val="24"/>
          <w:szCs w:val="24"/>
        </w:rPr>
      </w:pPr>
      <w:r w:rsidRPr="00EC5391">
        <w:rPr>
          <w:rFonts w:cs="Arial"/>
          <w:sz w:val="24"/>
          <w:szCs w:val="24"/>
        </w:rPr>
        <w:t>Outlin</w:t>
      </w:r>
      <w:r w:rsidR="00BA0026" w:rsidRPr="00EC5391">
        <w:rPr>
          <w:rFonts w:cs="Arial"/>
          <w:sz w:val="24"/>
          <w:szCs w:val="24"/>
        </w:rPr>
        <w:t>ing</w:t>
      </w:r>
      <w:r w:rsidRPr="00EC5391">
        <w:rPr>
          <w:rFonts w:cs="Arial"/>
          <w:sz w:val="24"/>
          <w:szCs w:val="24"/>
        </w:rPr>
        <w:t xml:space="preserve"> </w:t>
      </w:r>
      <w:r w:rsidR="00945605" w:rsidRPr="00EC5391">
        <w:rPr>
          <w:rFonts w:cs="Arial"/>
          <w:sz w:val="24"/>
          <w:szCs w:val="24"/>
        </w:rPr>
        <w:t xml:space="preserve">desired </w:t>
      </w:r>
      <w:r w:rsidRPr="00EC5391">
        <w:rPr>
          <w:rFonts w:cs="Arial"/>
          <w:sz w:val="24"/>
          <w:szCs w:val="24"/>
        </w:rPr>
        <w:t xml:space="preserve">outcomes </w:t>
      </w:r>
      <w:r w:rsidR="00945605" w:rsidRPr="00EC5391">
        <w:rPr>
          <w:rFonts w:cs="Arial"/>
          <w:sz w:val="24"/>
          <w:szCs w:val="24"/>
        </w:rPr>
        <w:t>specific to the target population</w:t>
      </w:r>
      <w:r w:rsidR="00945605" w:rsidRPr="00EC5391">
        <w:rPr>
          <w:rFonts w:cs="Arial"/>
          <w:sz w:val="24"/>
          <w:szCs w:val="24"/>
        </w:rPr>
        <w:br/>
      </w:r>
    </w:p>
    <w:p w:rsidR="00F8210B" w:rsidRPr="00EC5391" w:rsidRDefault="00945605" w:rsidP="00C024D7">
      <w:pPr>
        <w:pStyle w:val="ListParagraph"/>
        <w:numPr>
          <w:ilvl w:val="0"/>
          <w:numId w:val="14"/>
        </w:numPr>
        <w:rPr>
          <w:rFonts w:cs="Arial"/>
          <w:sz w:val="24"/>
          <w:szCs w:val="24"/>
        </w:rPr>
      </w:pPr>
      <w:r w:rsidRPr="00EC5391">
        <w:rPr>
          <w:rFonts w:cs="Arial"/>
          <w:sz w:val="24"/>
          <w:szCs w:val="24"/>
        </w:rPr>
        <w:t>Identify</w:t>
      </w:r>
      <w:r w:rsidR="00BA0026" w:rsidRPr="00EC5391">
        <w:rPr>
          <w:rFonts w:cs="Arial"/>
          <w:sz w:val="24"/>
          <w:szCs w:val="24"/>
        </w:rPr>
        <w:t>ing</w:t>
      </w:r>
      <w:r w:rsidRPr="00EC5391">
        <w:rPr>
          <w:rFonts w:cs="Arial"/>
          <w:sz w:val="24"/>
          <w:szCs w:val="24"/>
        </w:rPr>
        <w:t xml:space="preserve"> the nature and type of services likely to achieve these outcomes</w:t>
      </w:r>
      <w:r w:rsidR="00F8210B" w:rsidRPr="00EC5391">
        <w:rPr>
          <w:rFonts w:cs="Arial"/>
          <w:sz w:val="24"/>
          <w:szCs w:val="24"/>
        </w:rPr>
        <w:br/>
      </w:r>
    </w:p>
    <w:p w:rsidR="00945605" w:rsidRPr="00EC5391" w:rsidRDefault="00F8210B" w:rsidP="00C024D7">
      <w:pPr>
        <w:pStyle w:val="ListParagraph"/>
        <w:numPr>
          <w:ilvl w:val="0"/>
          <w:numId w:val="14"/>
        </w:numPr>
        <w:rPr>
          <w:rFonts w:cs="Arial"/>
          <w:sz w:val="24"/>
          <w:szCs w:val="24"/>
        </w:rPr>
      </w:pPr>
      <w:r w:rsidRPr="00EC5391">
        <w:rPr>
          <w:rFonts w:cs="Arial"/>
          <w:sz w:val="24"/>
          <w:szCs w:val="24"/>
        </w:rPr>
        <w:t>Set</w:t>
      </w:r>
      <w:r w:rsidR="00BA0026" w:rsidRPr="00EC5391">
        <w:rPr>
          <w:rFonts w:cs="Arial"/>
          <w:sz w:val="24"/>
          <w:szCs w:val="24"/>
        </w:rPr>
        <w:t xml:space="preserve">ting </w:t>
      </w:r>
      <w:r w:rsidRPr="00EC5391">
        <w:rPr>
          <w:rFonts w:cs="Arial"/>
          <w:sz w:val="24"/>
          <w:szCs w:val="24"/>
        </w:rPr>
        <w:t>up mechanisms for stakeholder consultation and participation, including end-service users</w:t>
      </w:r>
      <w:r w:rsidR="00945605" w:rsidRPr="00EC5391">
        <w:rPr>
          <w:rFonts w:cs="Arial"/>
          <w:sz w:val="24"/>
          <w:szCs w:val="24"/>
        </w:rPr>
        <w:br/>
      </w:r>
    </w:p>
    <w:p w:rsidR="00945605" w:rsidRPr="00EC5391" w:rsidRDefault="00945605" w:rsidP="00C024D7">
      <w:pPr>
        <w:pStyle w:val="ListParagraph"/>
        <w:numPr>
          <w:ilvl w:val="0"/>
          <w:numId w:val="14"/>
        </w:numPr>
        <w:rPr>
          <w:rFonts w:cs="Arial"/>
          <w:sz w:val="24"/>
          <w:szCs w:val="24"/>
        </w:rPr>
      </w:pPr>
      <w:r w:rsidRPr="00EC5391">
        <w:rPr>
          <w:rFonts w:cs="Arial"/>
          <w:sz w:val="24"/>
          <w:szCs w:val="24"/>
        </w:rPr>
        <w:t>Engag</w:t>
      </w:r>
      <w:r w:rsidR="00BA0026" w:rsidRPr="00EC5391">
        <w:rPr>
          <w:rFonts w:cs="Arial"/>
          <w:sz w:val="24"/>
          <w:szCs w:val="24"/>
        </w:rPr>
        <w:t>ing</w:t>
      </w:r>
      <w:r w:rsidRPr="00EC5391">
        <w:rPr>
          <w:rFonts w:cs="Arial"/>
          <w:sz w:val="24"/>
          <w:szCs w:val="24"/>
        </w:rPr>
        <w:t xml:space="preserve"> in a tendering process to secure service providers that can deliver the services identified</w:t>
      </w:r>
      <w:r w:rsidR="001B6B7E" w:rsidRPr="00EC5391">
        <w:rPr>
          <w:rFonts w:cs="Arial"/>
          <w:sz w:val="24"/>
          <w:szCs w:val="24"/>
        </w:rPr>
        <w:t xml:space="preserve"> – purchasing of services and related service contracts</w:t>
      </w:r>
      <w:r w:rsidRPr="00EC5391">
        <w:rPr>
          <w:rFonts w:cs="Arial"/>
          <w:sz w:val="24"/>
          <w:szCs w:val="24"/>
        </w:rPr>
        <w:br/>
      </w:r>
    </w:p>
    <w:p w:rsidR="00C024D7" w:rsidRPr="00EC5391" w:rsidRDefault="00945605" w:rsidP="00326B57">
      <w:pPr>
        <w:pStyle w:val="ListParagraph"/>
        <w:numPr>
          <w:ilvl w:val="0"/>
          <w:numId w:val="14"/>
        </w:numPr>
        <w:rPr>
          <w:sz w:val="24"/>
          <w:szCs w:val="24"/>
        </w:rPr>
      </w:pPr>
      <w:r w:rsidRPr="00EC5391">
        <w:rPr>
          <w:rFonts w:cs="Arial"/>
          <w:sz w:val="24"/>
          <w:szCs w:val="24"/>
        </w:rPr>
        <w:t>Set</w:t>
      </w:r>
      <w:r w:rsidR="00BA0026" w:rsidRPr="00EC5391">
        <w:rPr>
          <w:rFonts w:cs="Arial"/>
          <w:sz w:val="24"/>
          <w:szCs w:val="24"/>
        </w:rPr>
        <w:t>ting</w:t>
      </w:r>
      <w:r w:rsidRPr="00EC5391">
        <w:rPr>
          <w:rFonts w:cs="Arial"/>
          <w:sz w:val="24"/>
          <w:szCs w:val="24"/>
        </w:rPr>
        <w:t xml:space="preserve"> up mechanisms for  assessing outcomes, ideally an action research approach </w:t>
      </w:r>
      <w:r w:rsidR="00F8210B" w:rsidRPr="00EC5391">
        <w:rPr>
          <w:rFonts w:cs="Arial"/>
          <w:sz w:val="24"/>
          <w:szCs w:val="24"/>
        </w:rPr>
        <w:t>referred to above</w:t>
      </w:r>
      <w:r w:rsidRPr="00EC5391">
        <w:rPr>
          <w:rFonts w:cs="Arial"/>
          <w:sz w:val="24"/>
          <w:szCs w:val="24"/>
        </w:rPr>
        <w:t xml:space="preserve"> </w:t>
      </w:r>
      <w:r w:rsidR="00EC5391">
        <w:rPr>
          <w:rFonts w:cs="Arial"/>
          <w:sz w:val="24"/>
          <w:szCs w:val="24"/>
        </w:rPr>
        <w:t>with appropriate measures and social indicators</w:t>
      </w:r>
    </w:p>
    <w:p w:rsidR="00F8210B" w:rsidRPr="00EC5391" w:rsidRDefault="00F8210B" w:rsidP="00206D08">
      <w:pPr>
        <w:rPr>
          <w:rFonts w:cs="Arial"/>
          <w:sz w:val="24"/>
          <w:szCs w:val="24"/>
        </w:rPr>
      </w:pPr>
      <w:r w:rsidRPr="00EC5391">
        <w:rPr>
          <w:rFonts w:cs="Arial"/>
          <w:sz w:val="24"/>
          <w:szCs w:val="24"/>
        </w:rPr>
        <w:t xml:space="preserve">Much of the scoping work relating to 1-4 above should be carried out before the tendering process commences. This may require some initial exploratory research and, perhaps, some engagement with potential </w:t>
      </w:r>
      <w:r w:rsidR="006A6946" w:rsidRPr="00EC5391">
        <w:rPr>
          <w:rFonts w:cs="Arial"/>
          <w:sz w:val="24"/>
          <w:szCs w:val="24"/>
        </w:rPr>
        <w:t xml:space="preserve">and prospective </w:t>
      </w:r>
      <w:r w:rsidRPr="00EC5391">
        <w:rPr>
          <w:rFonts w:cs="Arial"/>
          <w:sz w:val="24"/>
          <w:szCs w:val="24"/>
        </w:rPr>
        <w:t xml:space="preserve">service providers. </w:t>
      </w:r>
    </w:p>
    <w:p w:rsidR="00206D08" w:rsidRPr="00EC5391" w:rsidRDefault="00206D08" w:rsidP="00206D08">
      <w:pPr>
        <w:rPr>
          <w:rFonts w:cs="Arial"/>
          <w:sz w:val="24"/>
          <w:szCs w:val="24"/>
        </w:rPr>
      </w:pPr>
      <w:r w:rsidRPr="00EC5391">
        <w:rPr>
          <w:rFonts w:cs="Arial"/>
          <w:b/>
          <w:sz w:val="24"/>
          <w:szCs w:val="24"/>
        </w:rPr>
        <w:t xml:space="preserve">People with disabilities </w:t>
      </w:r>
      <w:r w:rsidRPr="00EC5391">
        <w:rPr>
          <w:rFonts w:cs="Arial"/>
          <w:b/>
          <w:sz w:val="24"/>
          <w:szCs w:val="24"/>
        </w:rPr>
        <w:br/>
      </w:r>
      <w:r w:rsidRPr="00EC5391">
        <w:rPr>
          <w:rFonts w:cs="Arial"/>
          <w:sz w:val="24"/>
          <w:szCs w:val="24"/>
        </w:rPr>
        <w:t xml:space="preserve">The CIB has a particular remit in respect of people with disabilities and notes the fact that many services and supports to this population group are not provided directly by statutory agencies but through NGOs funded mainly through the public purse in the form of block grants and related service level agreements. However, these services for the most part have not </w:t>
      </w:r>
      <w:r w:rsidR="006A6946" w:rsidRPr="00EC5391">
        <w:rPr>
          <w:rFonts w:cs="Arial"/>
          <w:sz w:val="24"/>
          <w:szCs w:val="24"/>
        </w:rPr>
        <w:t xml:space="preserve">to date </w:t>
      </w:r>
      <w:r w:rsidRPr="00EC5391">
        <w:rPr>
          <w:rFonts w:cs="Arial"/>
          <w:sz w:val="24"/>
          <w:szCs w:val="24"/>
        </w:rPr>
        <w:t xml:space="preserve">been funded on the basis of a transparent commissioning process. </w:t>
      </w:r>
      <w:r w:rsidR="006A6946" w:rsidRPr="00EC5391">
        <w:rPr>
          <w:rFonts w:cs="Arial"/>
          <w:sz w:val="24"/>
          <w:szCs w:val="24"/>
        </w:rPr>
        <w:t xml:space="preserve">This is an area which requires careful and full consideration as part of the current engagement by government departments with the commissioning concept. </w:t>
      </w:r>
    </w:p>
    <w:p w:rsidR="00206D08" w:rsidRPr="00EC5391" w:rsidRDefault="00206D08" w:rsidP="00206D08">
      <w:pPr>
        <w:rPr>
          <w:rFonts w:cs="Arial"/>
          <w:i/>
          <w:sz w:val="24"/>
          <w:szCs w:val="24"/>
        </w:rPr>
      </w:pPr>
      <w:r w:rsidRPr="00EC5391">
        <w:rPr>
          <w:rFonts w:cs="Arial"/>
          <w:sz w:val="24"/>
          <w:szCs w:val="24"/>
        </w:rPr>
        <w:t xml:space="preserve">The policy focus </w:t>
      </w:r>
      <w:r w:rsidR="006A6946" w:rsidRPr="00EC5391">
        <w:rPr>
          <w:rFonts w:cs="Arial"/>
          <w:sz w:val="24"/>
          <w:szCs w:val="24"/>
        </w:rPr>
        <w:t xml:space="preserve">in relation to disability services </w:t>
      </w:r>
      <w:r w:rsidRPr="00EC5391">
        <w:rPr>
          <w:rFonts w:cs="Arial"/>
          <w:sz w:val="24"/>
          <w:szCs w:val="24"/>
        </w:rPr>
        <w:t xml:space="preserve">in recent years </w:t>
      </w:r>
      <w:r w:rsidR="006A6946" w:rsidRPr="00EC5391">
        <w:rPr>
          <w:rFonts w:cs="Arial"/>
          <w:sz w:val="24"/>
          <w:szCs w:val="24"/>
        </w:rPr>
        <w:t xml:space="preserve">has been </w:t>
      </w:r>
      <w:r w:rsidRPr="00EC5391">
        <w:rPr>
          <w:rFonts w:cs="Arial"/>
          <w:sz w:val="24"/>
          <w:szCs w:val="24"/>
        </w:rPr>
        <w:t>to develop a model of individualised supports</w:t>
      </w:r>
      <w:r w:rsidR="006A6946" w:rsidRPr="00EC5391">
        <w:rPr>
          <w:rFonts w:cs="Arial"/>
          <w:sz w:val="24"/>
          <w:szCs w:val="24"/>
        </w:rPr>
        <w:t>.</w:t>
      </w:r>
      <w:r w:rsidRPr="00EC5391">
        <w:rPr>
          <w:rStyle w:val="FootnoteReference"/>
          <w:rFonts w:cs="Arial"/>
          <w:sz w:val="24"/>
          <w:szCs w:val="24"/>
        </w:rPr>
        <w:footnoteReference w:id="5"/>
      </w:r>
      <w:r w:rsidRPr="00EC5391">
        <w:rPr>
          <w:rFonts w:cs="Arial"/>
          <w:sz w:val="24"/>
          <w:szCs w:val="24"/>
        </w:rPr>
        <w:t xml:space="preserve">  </w:t>
      </w:r>
      <w:r w:rsidR="006A6946" w:rsidRPr="00EC5391">
        <w:rPr>
          <w:rFonts w:cs="Arial"/>
          <w:sz w:val="24"/>
          <w:szCs w:val="24"/>
        </w:rPr>
        <w:t xml:space="preserve">This is very relevant in the context of a commissioning approach. </w:t>
      </w:r>
      <w:r w:rsidRPr="00EC5391">
        <w:rPr>
          <w:rFonts w:cs="Arial"/>
          <w:sz w:val="24"/>
          <w:szCs w:val="24"/>
        </w:rPr>
        <w:t>The Value for Money (VFM) Review (Department of Health 2012) involved an evaluation of the efficiency and effectiveness of HSE spending under its Disability Services Programme</w:t>
      </w:r>
      <w:r w:rsidR="006A6946" w:rsidRPr="00EC5391">
        <w:rPr>
          <w:rFonts w:cs="Arial"/>
          <w:sz w:val="24"/>
          <w:szCs w:val="24"/>
        </w:rPr>
        <w:t>.</w:t>
      </w:r>
      <w:r w:rsidRPr="00EC5391">
        <w:rPr>
          <w:rFonts w:cs="Arial"/>
          <w:sz w:val="24"/>
          <w:szCs w:val="24"/>
        </w:rPr>
        <w:t xml:space="preserve"> A key recommendation in the V</w:t>
      </w:r>
      <w:r w:rsidR="006A6946" w:rsidRPr="00EC5391">
        <w:rPr>
          <w:rFonts w:cs="Arial"/>
          <w:sz w:val="24"/>
          <w:szCs w:val="24"/>
        </w:rPr>
        <w:t xml:space="preserve">FM Report </w:t>
      </w:r>
      <w:r w:rsidRPr="00EC5391">
        <w:rPr>
          <w:rFonts w:cs="Arial"/>
          <w:sz w:val="24"/>
          <w:szCs w:val="24"/>
        </w:rPr>
        <w:t>was the need for the HSE, in consultation with the disability sector, to move towards a new Commissioning and procurement framework. The Review states that all funding should be allocated on the basis of a standardised assessment of individual need, which should be linked to the resource allocation methodology.</w:t>
      </w:r>
      <w:r w:rsidR="006A6946" w:rsidRPr="00EC5391">
        <w:rPr>
          <w:rFonts w:cs="Arial"/>
          <w:sz w:val="24"/>
          <w:szCs w:val="24"/>
        </w:rPr>
        <w:t xml:space="preserve"> This was seen as requiring more effective methods of assessing need, allocating resources and monitoring resource use as well as the articulation of a set of realistic, meaningful and quantifiable objectives to achieve measurable outcomes and quality for service users at the most economically viable cost. This proposed approach clearly needs to be linked to any new approach to commissioning services for this group of people.</w:t>
      </w:r>
    </w:p>
    <w:p w:rsidR="00C34983" w:rsidRPr="00EC5391" w:rsidRDefault="006A6946" w:rsidP="00C34983">
      <w:pPr>
        <w:rPr>
          <w:rFonts w:cs="Arial"/>
          <w:sz w:val="24"/>
          <w:szCs w:val="24"/>
        </w:rPr>
      </w:pPr>
      <w:r w:rsidRPr="00EC5391">
        <w:rPr>
          <w:rFonts w:cs="Arial"/>
          <w:b/>
          <w:sz w:val="24"/>
          <w:szCs w:val="24"/>
        </w:rPr>
        <w:t xml:space="preserve">Implementing </w:t>
      </w:r>
      <w:r w:rsidR="00C34983" w:rsidRPr="00EC5391">
        <w:rPr>
          <w:rFonts w:cs="Arial"/>
          <w:b/>
          <w:sz w:val="24"/>
          <w:szCs w:val="24"/>
        </w:rPr>
        <w:t>the Commissioning Concept</w:t>
      </w:r>
      <w:r w:rsidR="00BA0026" w:rsidRPr="00EC5391">
        <w:rPr>
          <w:rFonts w:cs="Arial"/>
          <w:b/>
          <w:sz w:val="24"/>
          <w:szCs w:val="24"/>
        </w:rPr>
        <w:br/>
      </w:r>
      <w:proofErr w:type="gramStart"/>
      <w:r w:rsidR="00882F90" w:rsidRPr="00EC5391">
        <w:rPr>
          <w:rFonts w:cs="Arial"/>
          <w:sz w:val="24"/>
          <w:szCs w:val="24"/>
        </w:rPr>
        <w:t>The</w:t>
      </w:r>
      <w:proofErr w:type="gramEnd"/>
      <w:r w:rsidR="00882F90" w:rsidRPr="00EC5391">
        <w:rPr>
          <w:rFonts w:cs="Arial"/>
          <w:sz w:val="24"/>
          <w:szCs w:val="24"/>
        </w:rPr>
        <w:t xml:space="preserve"> CIB broadly agrees with the range of benefits </w:t>
      </w:r>
      <w:r w:rsidR="00C34983" w:rsidRPr="00EC5391">
        <w:rPr>
          <w:rFonts w:cs="Arial"/>
          <w:sz w:val="24"/>
          <w:szCs w:val="24"/>
        </w:rPr>
        <w:t xml:space="preserve">have been </w:t>
      </w:r>
      <w:r w:rsidR="00882F90" w:rsidRPr="00EC5391">
        <w:rPr>
          <w:rFonts w:cs="Arial"/>
          <w:sz w:val="24"/>
          <w:szCs w:val="24"/>
        </w:rPr>
        <w:t xml:space="preserve">identified in respect of </w:t>
      </w:r>
      <w:r w:rsidR="00C34983" w:rsidRPr="00EC5391">
        <w:rPr>
          <w:rFonts w:cs="Arial"/>
          <w:sz w:val="24"/>
          <w:szCs w:val="24"/>
        </w:rPr>
        <w:t xml:space="preserve">Commissioning, </w:t>
      </w:r>
      <w:r w:rsidR="00882F90" w:rsidRPr="00EC5391">
        <w:rPr>
          <w:rFonts w:cs="Arial"/>
          <w:sz w:val="24"/>
          <w:szCs w:val="24"/>
        </w:rPr>
        <w:t>in particular</w:t>
      </w:r>
      <w:r w:rsidR="004E0407" w:rsidRPr="00EC5391">
        <w:rPr>
          <w:rFonts w:cs="Arial"/>
          <w:sz w:val="24"/>
          <w:szCs w:val="24"/>
        </w:rPr>
        <w:t>:</w:t>
      </w:r>
    </w:p>
    <w:p w:rsidR="00C34983" w:rsidRPr="00EC5391" w:rsidRDefault="00C34983" w:rsidP="00C34983">
      <w:pPr>
        <w:pStyle w:val="ListParagraph"/>
        <w:numPr>
          <w:ilvl w:val="0"/>
          <w:numId w:val="21"/>
        </w:numPr>
        <w:rPr>
          <w:rFonts w:cs="Arial"/>
          <w:sz w:val="24"/>
          <w:szCs w:val="24"/>
        </w:rPr>
      </w:pPr>
      <w:r w:rsidRPr="00EC5391">
        <w:rPr>
          <w:rFonts w:cs="Arial"/>
          <w:sz w:val="24"/>
          <w:szCs w:val="24"/>
        </w:rPr>
        <w:t>Resource targeting</w:t>
      </w:r>
    </w:p>
    <w:p w:rsidR="00C34983" w:rsidRPr="00EC5391" w:rsidRDefault="00C34983" w:rsidP="00C34983">
      <w:pPr>
        <w:pStyle w:val="ListParagraph"/>
        <w:numPr>
          <w:ilvl w:val="0"/>
          <w:numId w:val="21"/>
        </w:numPr>
        <w:rPr>
          <w:rFonts w:cs="Arial"/>
          <w:sz w:val="24"/>
          <w:szCs w:val="24"/>
        </w:rPr>
      </w:pPr>
      <w:r w:rsidRPr="00EC5391">
        <w:rPr>
          <w:rFonts w:cs="Arial"/>
          <w:sz w:val="24"/>
          <w:szCs w:val="24"/>
        </w:rPr>
        <w:t>Higher-quality service provision</w:t>
      </w:r>
    </w:p>
    <w:p w:rsidR="00C34983" w:rsidRPr="00EC5391" w:rsidRDefault="00C34983" w:rsidP="00C34983">
      <w:pPr>
        <w:pStyle w:val="ListParagraph"/>
        <w:numPr>
          <w:ilvl w:val="0"/>
          <w:numId w:val="21"/>
        </w:numPr>
        <w:rPr>
          <w:rFonts w:cs="Arial"/>
          <w:sz w:val="24"/>
          <w:szCs w:val="24"/>
        </w:rPr>
      </w:pPr>
      <w:r w:rsidRPr="00EC5391">
        <w:rPr>
          <w:rFonts w:cs="Arial"/>
          <w:sz w:val="24"/>
          <w:szCs w:val="24"/>
        </w:rPr>
        <w:t>Better value for money</w:t>
      </w:r>
    </w:p>
    <w:p w:rsidR="00C34983" w:rsidRPr="00EC5391" w:rsidRDefault="00C34983" w:rsidP="0077480B">
      <w:pPr>
        <w:pStyle w:val="ListParagraph"/>
        <w:numPr>
          <w:ilvl w:val="0"/>
          <w:numId w:val="21"/>
        </w:numPr>
        <w:rPr>
          <w:rFonts w:cs="Arial"/>
          <w:sz w:val="24"/>
          <w:szCs w:val="24"/>
        </w:rPr>
      </w:pPr>
      <w:r w:rsidRPr="00EC5391">
        <w:rPr>
          <w:rFonts w:cs="Arial"/>
          <w:sz w:val="24"/>
          <w:szCs w:val="24"/>
        </w:rPr>
        <w:t xml:space="preserve">Increasing service user choice </w:t>
      </w:r>
    </w:p>
    <w:p w:rsidR="00C34983" w:rsidRPr="00EC5391" w:rsidRDefault="00882F90" w:rsidP="005A7A10">
      <w:pPr>
        <w:rPr>
          <w:rFonts w:cs="Arial"/>
          <w:sz w:val="24"/>
          <w:szCs w:val="24"/>
        </w:rPr>
      </w:pPr>
      <w:r w:rsidRPr="00EC5391">
        <w:rPr>
          <w:rFonts w:cs="Arial"/>
          <w:sz w:val="24"/>
          <w:szCs w:val="24"/>
        </w:rPr>
        <w:t>However, we also note p</w:t>
      </w:r>
      <w:r w:rsidR="008A554A" w:rsidRPr="00EC5391">
        <w:rPr>
          <w:rFonts w:cs="Arial"/>
          <w:sz w:val="24"/>
          <w:szCs w:val="24"/>
        </w:rPr>
        <w:t xml:space="preserve">otential difficulties with </w:t>
      </w:r>
      <w:r w:rsidR="0077480B" w:rsidRPr="00EC5391">
        <w:rPr>
          <w:rFonts w:cs="Arial"/>
          <w:sz w:val="24"/>
          <w:szCs w:val="24"/>
        </w:rPr>
        <w:t xml:space="preserve">Commissioning </w:t>
      </w:r>
      <w:r w:rsidR="008A554A" w:rsidRPr="00EC5391">
        <w:rPr>
          <w:rFonts w:cs="Arial"/>
          <w:sz w:val="24"/>
          <w:szCs w:val="24"/>
        </w:rPr>
        <w:t xml:space="preserve">that have been identified </w:t>
      </w:r>
      <w:r w:rsidRPr="00EC5391">
        <w:rPr>
          <w:rFonts w:cs="Arial"/>
          <w:sz w:val="24"/>
          <w:szCs w:val="24"/>
        </w:rPr>
        <w:t>and which are very relevant in the Irish context</w:t>
      </w:r>
      <w:r w:rsidR="008A554A" w:rsidRPr="00EC5391">
        <w:rPr>
          <w:rFonts w:cs="Arial"/>
          <w:sz w:val="24"/>
          <w:szCs w:val="24"/>
        </w:rPr>
        <w:t>:</w:t>
      </w:r>
    </w:p>
    <w:p w:rsidR="0077480B" w:rsidRPr="00EC5391" w:rsidRDefault="008A554A" w:rsidP="0077480B">
      <w:pPr>
        <w:pStyle w:val="ListParagraph"/>
        <w:numPr>
          <w:ilvl w:val="0"/>
          <w:numId w:val="21"/>
        </w:numPr>
        <w:rPr>
          <w:rFonts w:cs="Arial"/>
          <w:sz w:val="24"/>
          <w:szCs w:val="24"/>
        </w:rPr>
      </w:pPr>
      <w:r w:rsidRPr="00EC5391">
        <w:rPr>
          <w:rFonts w:cs="Arial"/>
          <w:sz w:val="24"/>
          <w:szCs w:val="24"/>
        </w:rPr>
        <w:t>D</w:t>
      </w:r>
      <w:r w:rsidR="0077480B" w:rsidRPr="00EC5391">
        <w:rPr>
          <w:rFonts w:cs="Arial"/>
          <w:sz w:val="24"/>
          <w:szCs w:val="24"/>
        </w:rPr>
        <w:t>estabilis</w:t>
      </w:r>
      <w:r w:rsidRPr="00EC5391">
        <w:rPr>
          <w:rFonts w:cs="Arial"/>
          <w:sz w:val="24"/>
          <w:szCs w:val="24"/>
        </w:rPr>
        <w:t xml:space="preserve">ation of </w:t>
      </w:r>
      <w:r w:rsidR="0077480B" w:rsidRPr="00EC5391">
        <w:rPr>
          <w:rFonts w:cs="Arial"/>
          <w:sz w:val="24"/>
          <w:szCs w:val="24"/>
        </w:rPr>
        <w:t xml:space="preserve">the pool of providers, especially where a few major providers supply a range of interdependent services, or where present provision is a </w:t>
      </w:r>
      <w:r w:rsidRPr="00EC5391">
        <w:rPr>
          <w:rFonts w:cs="Arial"/>
          <w:sz w:val="24"/>
          <w:szCs w:val="24"/>
        </w:rPr>
        <w:t>poor match for population needs</w:t>
      </w:r>
      <w:r w:rsidR="004546D3" w:rsidRPr="00EC5391">
        <w:rPr>
          <w:rFonts w:cs="Arial"/>
          <w:sz w:val="24"/>
          <w:szCs w:val="24"/>
        </w:rPr>
        <w:t xml:space="preserve"> in particular geographical areas</w:t>
      </w:r>
      <w:r w:rsidRPr="00EC5391">
        <w:rPr>
          <w:rFonts w:cs="Arial"/>
          <w:sz w:val="24"/>
          <w:szCs w:val="24"/>
        </w:rPr>
        <w:br/>
      </w:r>
    </w:p>
    <w:p w:rsidR="00E820A8" w:rsidRDefault="00470C7C" w:rsidP="0077480B">
      <w:pPr>
        <w:pStyle w:val="ListParagraph"/>
        <w:numPr>
          <w:ilvl w:val="0"/>
          <w:numId w:val="21"/>
        </w:numPr>
        <w:rPr>
          <w:rFonts w:cs="Arial"/>
          <w:sz w:val="24"/>
          <w:szCs w:val="24"/>
        </w:rPr>
      </w:pPr>
      <w:r>
        <w:rPr>
          <w:rFonts w:cs="Arial"/>
          <w:sz w:val="24"/>
          <w:szCs w:val="24"/>
        </w:rPr>
        <w:t>How to ensure that the diversity of needs are catered for</w:t>
      </w:r>
      <w:r w:rsidR="00E820A8">
        <w:rPr>
          <w:rStyle w:val="FootnoteReference"/>
          <w:rFonts w:cs="Arial"/>
          <w:sz w:val="24"/>
          <w:szCs w:val="24"/>
        </w:rPr>
        <w:footnoteReference w:id="6"/>
      </w:r>
      <w:r>
        <w:rPr>
          <w:rFonts w:cs="Arial"/>
          <w:sz w:val="24"/>
          <w:szCs w:val="24"/>
        </w:rPr>
        <w:t xml:space="preserve"> and to avoid ‘cherry-picking’  models of delivery</w:t>
      </w:r>
      <w:r w:rsidR="00E820A8">
        <w:rPr>
          <w:rFonts w:cs="Arial"/>
          <w:sz w:val="24"/>
          <w:szCs w:val="24"/>
        </w:rPr>
        <w:br/>
      </w:r>
    </w:p>
    <w:p w:rsidR="0077480B" w:rsidRPr="00E820A8" w:rsidRDefault="008A554A" w:rsidP="0077480B">
      <w:pPr>
        <w:pStyle w:val="ListParagraph"/>
        <w:numPr>
          <w:ilvl w:val="0"/>
          <w:numId w:val="21"/>
        </w:numPr>
        <w:rPr>
          <w:rFonts w:cs="Arial"/>
          <w:sz w:val="24"/>
          <w:szCs w:val="24"/>
        </w:rPr>
      </w:pPr>
      <w:r w:rsidRPr="00E820A8">
        <w:rPr>
          <w:rFonts w:cs="Arial"/>
          <w:sz w:val="24"/>
          <w:szCs w:val="24"/>
        </w:rPr>
        <w:t xml:space="preserve">A diminution of the vital contribution of NGOs, </w:t>
      </w:r>
      <w:proofErr w:type="gramStart"/>
      <w:r w:rsidRPr="00E820A8">
        <w:rPr>
          <w:rFonts w:cs="Arial"/>
          <w:sz w:val="24"/>
          <w:szCs w:val="24"/>
        </w:rPr>
        <w:t xml:space="preserve">including </w:t>
      </w:r>
      <w:r w:rsidR="0077480B" w:rsidRPr="00E820A8">
        <w:rPr>
          <w:rFonts w:cs="Arial"/>
          <w:sz w:val="24"/>
          <w:szCs w:val="24"/>
        </w:rPr>
        <w:t xml:space="preserve"> losing</w:t>
      </w:r>
      <w:proofErr w:type="gramEnd"/>
      <w:r w:rsidR="0077480B" w:rsidRPr="00E820A8">
        <w:rPr>
          <w:rFonts w:cs="Arial"/>
          <w:sz w:val="24"/>
          <w:szCs w:val="24"/>
        </w:rPr>
        <w:t xml:space="preserve"> </w:t>
      </w:r>
      <w:r w:rsidR="00185107">
        <w:rPr>
          <w:rFonts w:cs="Arial"/>
          <w:sz w:val="24"/>
          <w:szCs w:val="24"/>
        </w:rPr>
        <w:t xml:space="preserve">knowledge and assets </w:t>
      </w:r>
      <w:r w:rsidR="0077480B" w:rsidRPr="00E820A8">
        <w:rPr>
          <w:rFonts w:cs="Arial"/>
          <w:sz w:val="24"/>
          <w:szCs w:val="24"/>
        </w:rPr>
        <w:t xml:space="preserve">and </w:t>
      </w:r>
      <w:r w:rsidRPr="00E820A8">
        <w:rPr>
          <w:rFonts w:cs="Arial"/>
          <w:sz w:val="24"/>
          <w:szCs w:val="24"/>
        </w:rPr>
        <w:t xml:space="preserve">an impact on </w:t>
      </w:r>
      <w:r w:rsidR="00185107" w:rsidRPr="00E820A8">
        <w:rPr>
          <w:rFonts w:cs="Arial"/>
          <w:sz w:val="24"/>
          <w:szCs w:val="24"/>
        </w:rPr>
        <w:t>vol</w:t>
      </w:r>
      <w:r w:rsidR="00185107">
        <w:rPr>
          <w:rFonts w:cs="Arial"/>
          <w:sz w:val="24"/>
          <w:szCs w:val="24"/>
        </w:rPr>
        <w:t xml:space="preserve">untary activity generally and </w:t>
      </w:r>
      <w:r w:rsidR="0077480B" w:rsidRPr="00E820A8">
        <w:rPr>
          <w:rFonts w:cs="Arial"/>
          <w:sz w:val="24"/>
          <w:szCs w:val="24"/>
        </w:rPr>
        <w:t>the sustainability of organisations.</w:t>
      </w:r>
    </w:p>
    <w:p w:rsidR="004546D3" w:rsidRPr="00EC5391" w:rsidRDefault="004546D3" w:rsidP="004546D3">
      <w:pPr>
        <w:rPr>
          <w:rFonts w:cs="Arial"/>
          <w:sz w:val="24"/>
          <w:szCs w:val="24"/>
        </w:rPr>
      </w:pPr>
      <w:r w:rsidRPr="00EC5391">
        <w:rPr>
          <w:rFonts w:cs="Arial"/>
          <w:sz w:val="24"/>
          <w:szCs w:val="24"/>
        </w:rPr>
        <w:t xml:space="preserve">We also note that a possible outcome of a stronger emphasis on Commissioning could be a shift to a greater privatisation of human, social and community services with its associated difficulties and challenges as in the case of private nursing home care.  </w:t>
      </w:r>
    </w:p>
    <w:p w:rsidR="004546D3" w:rsidRPr="00EC5391" w:rsidRDefault="004546D3" w:rsidP="004546D3">
      <w:pPr>
        <w:rPr>
          <w:rFonts w:cs="Arial"/>
          <w:b/>
          <w:sz w:val="24"/>
          <w:szCs w:val="24"/>
        </w:rPr>
      </w:pPr>
      <w:r w:rsidRPr="00EC5391">
        <w:rPr>
          <w:rFonts w:cs="Arial"/>
          <w:sz w:val="24"/>
          <w:szCs w:val="24"/>
        </w:rPr>
        <w:t>The experience of using a commissioning approach to date should be built on and key learning from those initiatives</w:t>
      </w:r>
      <w:r w:rsidRPr="00EC5391">
        <w:rPr>
          <w:rStyle w:val="FootnoteReference"/>
          <w:rFonts w:cs="Arial"/>
          <w:sz w:val="24"/>
          <w:szCs w:val="24"/>
        </w:rPr>
        <w:footnoteReference w:id="7"/>
      </w:r>
      <w:r w:rsidRPr="00EC5391">
        <w:rPr>
          <w:rFonts w:cs="Arial"/>
          <w:sz w:val="24"/>
          <w:szCs w:val="24"/>
        </w:rPr>
        <w:t xml:space="preserve"> taken on board.</w:t>
      </w:r>
    </w:p>
    <w:p w:rsidR="00A678CA" w:rsidRPr="00EC5391" w:rsidRDefault="00C34983" w:rsidP="00A678CA">
      <w:pPr>
        <w:rPr>
          <w:rFonts w:cs="Arial"/>
          <w:b/>
          <w:sz w:val="24"/>
          <w:szCs w:val="24"/>
        </w:rPr>
      </w:pPr>
      <w:r w:rsidRPr="00EC5391">
        <w:rPr>
          <w:rFonts w:cs="Arial"/>
          <w:b/>
          <w:sz w:val="24"/>
          <w:szCs w:val="24"/>
        </w:rPr>
        <w:t>The Community and Voluntary Sector in Ireland</w:t>
      </w:r>
      <w:r w:rsidR="004546D3" w:rsidRPr="00EC5391">
        <w:rPr>
          <w:rFonts w:cs="Arial"/>
          <w:b/>
          <w:sz w:val="24"/>
          <w:szCs w:val="24"/>
        </w:rPr>
        <w:br/>
      </w:r>
      <w:proofErr w:type="gramStart"/>
      <w:r w:rsidRPr="00EC5391">
        <w:rPr>
          <w:rFonts w:cs="Arial"/>
          <w:sz w:val="24"/>
          <w:szCs w:val="24"/>
        </w:rPr>
        <w:t>T</w:t>
      </w:r>
      <w:r w:rsidR="00A678CA" w:rsidRPr="00EC5391">
        <w:rPr>
          <w:rFonts w:cs="Arial"/>
          <w:sz w:val="24"/>
          <w:szCs w:val="24"/>
        </w:rPr>
        <w:t>he</w:t>
      </w:r>
      <w:proofErr w:type="gramEnd"/>
      <w:r w:rsidR="00A678CA" w:rsidRPr="00EC5391">
        <w:rPr>
          <w:rFonts w:cs="Arial"/>
          <w:sz w:val="24"/>
          <w:szCs w:val="24"/>
        </w:rPr>
        <w:t xml:space="preserve"> </w:t>
      </w:r>
      <w:r w:rsidR="00882F90" w:rsidRPr="00EC5391">
        <w:rPr>
          <w:rFonts w:cs="Arial"/>
          <w:sz w:val="24"/>
          <w:szCs w:val="24"/>
        </w:rPr>
        <w:t xml:space="preserve">role of the </w:t>
      </w:r>
      <w:r w:rsidR="00A678CA" w:rsidRPr="00EC5391">
        <w:rPr>
          <w:rFonts w:cs="Arial"/>
          <w:sz w:val="24"/>
          <w:szCs w:val="24"/>
        </w:rPr>
        <w:t>Community and Voluntary Sector</w:t>
      </w:r>
      <w:r w:rsidR="005A7A10" w:rsidRPr="00EC5391">
        <w:rPr>
          <w:rFonts w:cs="Arial"/>
          <w:sz w:val="24"/>
          <w:szCs w:val="24"/>
        </w:rPr>
        <w:t xml:space="preserve"> is somewhat </w:t>
      </w:r>
      <w:r w:rsidR="00A678CA" w:rsidRPr="00EC5391">
        <w:rPr>
          <w:rFonts w:cs="Arial"/>
          <w:sz w:val="24"/>
          <w:szCs w:val="24"/>
        </w:rPr>
        <w:t>unique</w:t>
      </w:r>
      <w:r w:rsidR="005A7A10" w:rsidRPr="00EC5391">
        <w:rPr>
          <w:rFonts w:cs="Arial"/>
          <w:sz w:val="24"/>
          <w:szCs w:val="24"/>
        </w:rPr>
        <w:t xml:space="preserve"> </w:t>
      </w:r>
      <w:r w:rsidR="00882F90" w:rsidRPr="00EC5391">
        <w:rPr>
          <w:rFonts w:cs="Arial"/>
          <w:sz w:val="24"/>
          <w:szCs w:val="24"/>
        </w:rPr>
        <w:t xml:space="preserve">in Ireland </w:t>
      </w:r>
      <w:r w:rsidR="005A7A10" w:rsidRPr="00EC5391">
        <w:rPr>
          <w:rFonts w:cs="Arial"/>
          <w:sz w:val="24"/>
          <w:szCs w:val="24"/>
        </w:rPr>
        <w:t xml:space="preserve">given its </w:t>
      </w:r>
      <w:r w:rsidR="00A678CA" w:rsidRPr="00EC5391">
        <w:rPr>
          <w:rFonts w:cs="Arial"/>
          <w:sz w:val="24"/>
          <w:szCs w:val="24"/>
        </w:rPr>
        <w:t>historical involvement in the delivery of social services</w:t>
      </w:r>
      <w:r w:rsidR="00882F90" w:rsidRPr="00EC5391">
        <w:rPr>
          <w:rFonts w:cs="Arial"/>
          <w:sz w:val="24"/>
          <w:szCs w:val="24"/>
        </w:rPr>
        <w:t xml:space="preserve"> -- a</w:t>
      </w:r>
      <w:r w:rsidR="00A678CA" w:rsidRPr="00EC5391">
        <w:rPr>
          <w:rFonts w:cs="Arial"/>
          <w:sz w:val="24"/>
          <w:szCs w:val="24"/>
        </w:rPr>
        <w:t xml:space="preserve"> range of health, social care and education services have been initiated by </w:t>
      </w:r>
      <w:r w:rsidR="00882F90" w:rsidRPr="00EC5391">
        <w:rPr>
          <w:rFonts w:cs="Arial"/>
          <w:sz w:val="24"/>
          <w:szCs w:val="24"/>
        </w:rPr>
        <w:t xml:space="preserve">NGOS. Indeed, the State </w:t>
      </w:r>
      <w:r w:rsidR="00A678CA" w:rsidRPr="00EC5391">
        <w:rPr>
          <w:rFonts w:cs="Arial"/>
          <w:sz w:val="24"/>
          <w:szCs w:val="24"/>
        </w:rPr>
        <w:t>has relied on</w:t>
      </w:r>
      <w:r w:rsidR="00882F90" w:rsidRPr="00EC5391">
        <w:rPr>
          <w:rFonts w:cs="Arial"/>
          <w:sz w:val="24"/>
          <w:szCs w:val="24"/>
        </w:rPr>
        <w:t xml:space="preserve"> the sector (and continues to do so)</w:t>
      </w:r>
      <w:r w:rsidR="00A678CA" w:rsidRPr="00EC5391">
        <w:rPr>
          <w:rFonts w:cs="Arial"/>
          <w:sz w:val="24"/>
          <w:szCs w:val="24"/>
        </w:rPr>
        <w:t xml:space="preserve"> to provide many services,</w:t>
      </w:r>
      <w:r w:rsidR="00882F90" w:rsidRPr="00EC5391">
        <w:rPr>
          <w:rFonts w:cs="Arial"/>
          <w:sz w:val="24"/>
          <w:szCs w:val="24"/>
        </w:rPr>
        <w:t xml:space="preserve"> in particular, services for people with disabilities. L</w:t>
      </w:r>
      <w:r w:rsidR="00A678CA" w:rsidRPr="00EC5391">
        <w:rPr>
          <w:rFonts w:cs="Arial"/>
          <w:sz w:val="24"/>
          <w:szCs w:val="24"/>
        </w:rPr>
        <w:t>egislation has provided for the current system of grant-based funding in the health sector.</w:t>
      </w:r>
    </w:p>
    <w:p w:rsidR="00334A57" w:rsidRPr="00EC5391" w:rsidRDefault="005A7A10" w:rsidP="00BC1204">
      <w:pPr>
        <w:rPr>
          <w:rFonts w:cs="Arial"/>
          <w:sz w:val="24"/>
          <w:szCs w:val="24"/>
        </w:rPr>
      </w:pPr>
      <w:r w:rsidRPr="00EC5391">
        <w:rPr>
          <w:rFonts w:cs="Arial"/>
          <w:sz w:val="24"/>
          <w:szCs w:val="24"/>
        </w:rPr>
        <w:t xml:space="preserve">The implications </w:t>
      </w:r>
      <w:r w:rsidR="00882F90" w:rsidRPr="00EC5391">
        <w:rPr>
          <w:rFonts w:cs="Arial"/>
          <w:sz w:val="24"/>
          <w:szCs w:val="24"/>
        </w:rPr>
        <w:t xml:space="preserve">for the </w:t>
      </w:r>
      <w:r w:rsidR="00106FDD" w:rsidRPr="00EC5391">
        <w:rPr>
          <w:rFonts w:cs="Arial"/>
          <w:sz w:val="24"/>
          <w:szCs w:val="24"/>
        </w:rPr>
        <w:t xml:space="preserve">NGO sector </w:t>
      </w:r>
      <w:r w:rsidRPr="00EC5391">
        <w:rPr>
          <w:rFonts w:cs="Arial"/>
          <w:sz w:val="24"/>
          <w:szCs w:val="24"/>
        </w:rPr>
        <w:t>of introducing a more extensive Commissioning model requires careful consideration in order to minimise any resultant destabilisation of the sector and the wide range of target groups served.</w:t>
      </w:r>
    </w:p>
    <w:p w:rsidR="005A7A10" w:rsidRPr="00EC5391" w:rsidRDefault="005A7A10" w:rsidP="00A678CA">
      <w:pPr>
        <w:rPr>
          <w:rFonts w:cs="Arial"/>
          <w:sz w:val="24"/>
          <w:szCs w:val="24"/>
        </w:rPr>
      </w:pPr>
      <w:r w:rsidRPr="00EC5391">
        <w:rPr>
          <w:rFonts w:cs="Arial"/>
          <w:b/>
          <w:sz w:val="24"/>
          <w:szCs w:val="24"/>
        </w:rPr>
        <w:t xml:space="preserve">Key questions requiring ongoing consideration </w:t>
      </w:r>
      <w:r w:rsidRPr="00EC5391">
        <w:rPr>
          <w:rFonts w:cs="Arial"/>
          <w:b/>
          <w:sz w:val="24"/>
          <w:szCs w:val="24"/>
        </w:rPr>
        <w:br/>
      </w:r>
      <w:proofErr w:type="gramStart"/>
      <w:r w:rsidRPr="00EC5391">
        <w:rPr>
          <w:rFonts w:cs="Arial"/>
          <w:sz w:val="24"/>
          <w:szCs w:val="24"/>
        </w:rPr>
        <w:t>Transitioning</w:t>
      </w:r>
      <w:proofErr w:type="gramEnd"/>
      <w:r w:rsidRPr="00EC5391">
        <w:rPr>
          <w:rFonts w:cs="Arial"/>
          <w:sz w:val="24"/>
          <w:szCs w:val="24"/>
        </w:rPr>
        <w:t xml:space="preserve"> to a more extensive Commissioning models and frameworks of service delivery will require ongoing consideration of the following questions:</w:t>
      </w:r>
    </w:p>
    <w:p w:rsidR="00EC5391" w:rsidRDefault="00106FDD" w:rsidP="00106FDD">
      <w:pPr>
        <w:pStyle w:val="ListParagraph"/>
        <w:numPr>
          <w:ilvl w:val="0"/>
          <w:numId w:val="26"/>
        </w:numPr>
        <w:rPr>
          <w:rFonts w:cs="Arial"/>
          <w:sz w:val="24"/>
          <w:szCs w:val="24"/>
        </w:rPr>
      </w:pPr>
      <w:r w:rsidRPr="00EC5391">
        <w:rPr>
          <w:rFonts w:cs="Arial"/>
          <w:sz w:val="24"/>
          <w:szCs w:val="24"/>
        </w:rPr>
        <w:t xml:space="preserve">How will a stronger focus on </w:t>
      </w:r>
      <w:r w:rsidR="005A7A10" w:rsidRPr="00EC5391">
        <w:rPr>
          <w:rFonts w:cs="Arial"/>
          <w:sz w:val="24"/>
          <w:szCs w:val="24"/>
        </w:rPr>
        <w:t xml:space="preserve">Commissioning </w:t>
      </w:r>
      <w:r w:rsidRPr="00EC5391">
        <w:rPr>
          <w:rFonts w:cs="Arial"/>
          <w:sz w:val="24"/>
          <w:szCs w:val="24"/>
        </w:rPr>
        <w:t>impact on the responsibility of Government to provide health and social services?</w:t>
      </w:r>
      <w:r w:rsidR="00EC5391">
        <w:rPr>
          <w:rFonts w:cs="Arial"/>
          <w:sz w:val="24"/>
          <w:szCs w:val="24"/>
        </w:rPr>
        <w:br/>
      </w:r>
    </w:p>
    <w:p w:rsidR="00106FDD" w:rsidRPr="00EC5391" w:rsidRDefault="00EC5391" w:rsidP="00106FDD">
      <w:pPr>
        <w:pStyle w:val="ListParagraph"/>
        <w:numPr>
          <w:ilvl w:val="0"/>
          <w:numId w:val="26"/>
        </w:numPr>
        <w:rPr>
          <w:rFonts w:cs="Arial"/>
          <w:sz w:val="24"/>
          <w:szCs w:val="24"/>
        </w:rPr>
      </w:pPr>
      <w:r>
        <w:rPr>
          <w:rFonts w:cs="Arial"/>
          <w:sz w:val="24"/>
          <w:szCs w:val="24"/>
        </w:rPr>
        <w:t>When are services best provided directly by Government and when should they be contracted out to other providers?</w:t>
      </w:r>
      <w:r>
        <w:rPr>
          <w:rFonts w:cs="Arial"/>
          <w:sz w:val="24"/>
          <w:szCs w:val="24"/>
        </w:rPr>
        <w:br/>
      </w:r>
    </w:p>
    <w:p w:rsidR="00106FDD" w:rsidRPr="00EC5391" w:rsidRDefault="00106FDD" w:rsidP="00A678CA">
      <w:pPr>
        <w:pStyle w:val="ListParagraph"/>
        <w:numPr>
          <w:ilvl w:val="0"/>
          <w:numId w:val="26"/>
        </w:numPr>
        <w:rPr>
          <w:rFonts w:cs="Arial"/>
          <w:sz w:val="24"/>
          <w:szCs w:val="24"/>
        </w:rPr>
      </w:pPr>
      <w:r w:rsidRPr="00EC5391">
        <w:rPr>
          <w:rFonts w:cs="Arial"/>
          <w:sz w:val="24"/>
          <w:szCs w:val="24"/>
        </w:rPr>
        <w:t>What are the implications of a possible greater move towards the privatisation of health and social services as a result of Commissioning?</w:t>
      </w:r>
      <w:r w:rsidRPr="00EC5391">
        <w:rPr>
          <w:rFonts w:cs="Arial"/>
          <w:sz w:val="24"/>
          <w:szCs w:val="24"/>
        </w:rPr>
        <w:br/>
      </w:r>
    </w:p>
    <w:p w:rsidR="00106FDD" w:rsidRPr="00EC5391" w:rsidRDefault="00106FDD" w:rsidP="00106FDD">
      <w:pPr>
        <w:pStyle w:val="ListParagraph"/>
        <w:numPr>
          <w:ilvl w:val="0"/>
          <w:numId w:val="25"/>
        </w:numPr>
        <w:rPr>
          <w:rFonts w:cs="Arial"/>
          <w:sz w:val="24"/>
          <w:szCs w:val="24"/>
        </w:rPr>
      </w:pPr>
      <w:r w:rsidRPr="00EC5391">
        <w:rPr>
          <w:rFonts w:cs="Arial"/>
          <w:sz w:val="24"/>
          <w:szCs w:val="24"/>
        </w:rPr>
        <w:t>What are the implications for smaller NGOs with long track records in providing good quality human, social and community services based?</w:t>
      </w:r>
      <w:r w:rsidRPr="00EC5391">
        <w:rPr>
          <w:rFonts w:cs="Arial"/>
          <w:sz w:val="24"/>
          <w:szCs w:val="24"/>
        </w:rPr>
        <w:br/>
      </w:r>
    </w:p>
    <w:p w:rsidR="00106FDD" w:rsidRPr="00EC5391" w:rsidRDefault="00106FDD" w:rsidP="00106FDD">
      <w:pPr>
        <w:pStyle w:val="ListParagraph"/>
        <w:numPr>
          <w:ilvl w:val="0"/>
          <w:numId w:val="25"/>
        </w:numPr>
        <w:rPr>
          <w:rFonts w:cs="Arial"/>
          <w:sz w:val="24"/>
          <w:szCs w:val="24"/>
        </w:rPr>
      </w:pPr>
      <w:r w:rsidRPr="00EC5391">
        <w:rPr>
          <w:rFonts w:cs="Arial"/>
          <w:sz w:val="24"/>
          <w:szCs w:val="24"/>
        </w:rPr>
        <w:t>How does the concept of Commissioning relate to:</w:t>
      </w:r>
      <w:r w:rsidRPr="00EC5391">
        <w:rPr>
          <w:rFonts w:cs="Arial"/>
          <w:sz w:val="24"/>
          <w:szCs w:val="24"/>
        </w:rPr>
        <w:tab/>
        <w:t xml:space="preserve">  </w:t>
      </w:r>
    </w:p>
    <w:p w:rsidR="00106FDD" w:rsidRPr="00EC5391" w:rsidRDefault="00106FDD" w:rsidP="00106FDD">
      <w:pPr>
        <w:pStyle w:val="ListParagraph"/>
        <w:numPr>
          <w:ilvl w:val="0"/>
          <w:numId w:val="27"/>
        </w:numPr>
        <w:rPr>
          <w:rFonts w:cs="Arial"/>
          <w:sz w:val="24"/>
          <w:szCs w:val="24"/>
        </w:rPr>
      </w:pPr>
      <w:r w:rsidRPr="00EC5391">
        <w:rPr>
          <w:rFonts w:cs="Arial"/>
          <w:sz w:val="24"/>
          <w:szCs w:val="24"/>
        </w:rPr>
        <w:t>Individualised funding</w:t>
      </w:r>
    </w:p>
    <w:p w:rsidR="00106FDD" w:rsidRPr="00EC5391" w:rsidRDefault="00106FDD" w:rsidP="00106FDD">
      <w:pPr>
        <w:pStyle w:val="ListParagraph"/>
        <w:numPr>
          <w:ilvl w:val="0"/>
          <w:numId w:val="27"/>
        </w:numPr>
        <w:rPr>
          <w:rFonts w:cs="Arial"/>
          <w:sz w:val="24"/>
          <w:szCs w:val="24"/>
        </w:rPr>
      </w:pPr>
      <w:r w:rsidRPr="00EC5391">
        <w:rPr>
          <w:rFonts w:cs="Arial"/>
          <w:sz w:val="24"/>
          <w:szCs w:val="24"/>
        </w:rPr>
        <w:t>Local community development</w:t>
      </w:r>
    </w:p>
    <w:p w:rsidR="005A7A10" w:rsidRPr="00EC5391" w:rsidRDefault="00106FDD" w:rsidP="00106FDD">
      <w:pPr>
        <w:pStyle w:val="ListParagraph"/>
        <w:numPr>
          <w:ilvl w:val="0"/>
          <w:numId w:val="27"/>
        </w:numPr>
        <w:rPr>
          <w:rFonts w:cs="Arial"/>
          <w:sz w:val="24"/>
          <w:szCs w:val="24"/>
        </w:rPr>
      </w:pPr>
      <w:r w:rsidRPr="00EC5391">
        <w:rPr>
          <w:rFonts w:cs="Arial"/>
          <w:sz w:val="24"/>
          <w:szCs w:val="24"/>
        </w:rPr>
        <w:t>Active citizenship and volunteering</w:t>
      </w:r>
      <w:r w:rsidR="005A7A10" w:rsidRPr="00EC5391">
        <w:rPr>
          <w:rFonts w:cs="Arial"/>
          <w:sz w:val="24"/>
          <w:szCs w:val="24"/>
        </w:rPr>
        <w:br/>
      </w:r>
    </w:p>
    <w:p w:rsidR="00206D08" w:rsidRPr="00EC5391" w:rsidRDefault="00BA0026" w:rsidP="00BA0026">
      <w:pPr>
        <w:pStyle w:val="ListParagraph"/>
        <w:numPr>
          <w:ilvl w:val="0"/>
          <w:numId w:val="28"/>
        </w:numPr>
        <w:rPr>
          <w:rFonts w:cs="Arial"/>
          <w:b/>
          <w:sz w:val="24"/>
          <w:szCs w:val="24"/>
        </w:rPr>
      </w:pPr>
      <w:r w:rsidRPr="00EC5391">
        <w:rPr>
          <w:rFonts w:cs="Arial"/>
          <w:sz w:val="24"/>
          <w:szCs w:val="24"/>
        </w:rPr>
        <w:t>H</w:t>
      </w:r>
      <w:r w:rsidR="005A7A10" w:rsidRPr="00EC5391">
        <w:rPr>
          <w:rFonts w:cs="Arial"/>
          <w:sz w:val="24"/>
          <w:szCs w:val="24"/>
        </w:rPr>
        <w:t xml:space="preserve">ow </w:t>
      </w:r>
      <w:r w:rsidRPr="00EC5391">
        <w:rPr>
          <w:rFonts w:cs="Arial"/>
          <w:sz w:val="24"/>
          <w:szCs w:val="24"/>
        </w:rPr>
        <w:t xml:space="preserve">is the transition </w:t>
      </w:r>
      <w:r w:rsidR="005A7A10" w:rsidRPr="00EC5391">
        <w:rPr>
          <w:rFonts w:cs="Arial"/>
          <w:sz w:val="24"/>
          <w:szCs w:val="24"/>
        </w:rPr>
        <w:t xml:space="preserve">to a </w:t>
      </w:r>
      <w:r w:rsidRPr="00EC5391">
        <w:rPr>
          <w:rFonts w:cs="Arial"/>
          <w:sz w:val="24"/>
          <w:szCs w:val="24"/>
        </w:rPr>
        <w:t xml:space="preserve">more extensive </w:t>
      </w:r>
      <w:r w:rsidR="005A7A10" w:rsidRPr="00EC5391">
        <w:rPr>
          <w:rFonts w:cs="Arial"/>
          <w:sz w:val="24"/>
          <w:szCs w:val="24"/>
        </w:rPr>
        <w:t>Commissioning framework</w:t>
      </w:r>
      <w:r w:rsidRPr="00EC5391">
        <w:rPr>
          <w:rFonts w:cs="Arial"/>
          <w:sz w:val="24"/>
          <w:szCs w:val="24"/>
        </w:rPr>
        <w:t xml:space="preserve"> to take place to ensure that experience and skill-sets built up over many years of practice are</w:t>
      </w:r>
      <w:r w:rsidRPr="00BA0026">
        <w:rPr>
          <w:rFonts w:ascii="Arial" w:hAnsi="Arial" w:cs="Arial"/>
          <w:sz w:val="24"/>
          <w:szCs w:val="24"/>
        </w:rPr>
        <w:t xml:space="preserve"> </w:t>
      </w:r>
      <w:r w:rsidRPr="00E80276">
        <w:rPr>
          <w:rFonts w:cs="Arial"/>
          <w:sz w:val="24"/>
          <w:szCs w:val="24"/>
        </w:rPr>
        <w:t>not</w:t>
      </w:r>
      <w:r w:rsidRPr="00BA0026">
        <w:rPr>
          <w:rFonts w:ascii="Arial" w:hAnsi="Arial" w:cs="Arial"/>
          <w:sz w:val="24"/>
          <w:szCs w:val="24"/>
        </w:rPr>
        <w:t xml:space="preserve"> </w:t>
      </w:r>
      <w:r w:rsidRPr="00EC5391">
        <w:rPr>
          <w:rFonts w:cs="Arial"/>
          <w:sz w:val="24"/>
          <w:szCs w:val="24"/>
        </w:rPr>
        <w:t>lost?</w:t>
      </w:r>
    </w:p>
    <w:sectPr w:rsidR="00206D08" w:rsidRPr="00EC539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DCD" w:rsidRDefault="00A74DCD" w:rsidP="000E5060">
      <w:pPr>
        <w:spacing w:after="0" w:line="240" w:lineRule="auto"/>
      </w:pPr>
      <w:r>
        <w:separator/>
      </w:r>
    </w:p>
  </w:endnote>
  <w:endnote w:type="continuationSeparator" w:id="0">
    <w:p w:rsidR="00A74DCD" w:rsidRDefault="00A74DCD" w:rsidP="000E5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DDD" w:rsidRDefault="007F2D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671195"/>
      <w:docPartObj>
        <w:docPartGallery w:val="Page Numbers (Bottom of Page)"/>
        <w:docPartUnique/>
      </w:docPartObj>
    </w:sdtPr>
    <w:sdtEndPr>
      <w:rPr>
        <w:noProof/>
      </w:rPr>
    </w:sdtEndPr>
    <w:sdtContent>
      <w:p w:rsidR="00491D99" w:rsidRDefault="00491D99">
        <w:pPr>
          <w:pStyle w:val="Footer"/>
          <w:jc w:val="right"/>
        </w:pPr>
        <w:r>
          <w:fldChar w:fldCharType="begin"/>
        </w:r>
        <w:r>
          <w:instrText xml:space="preserve"> PAGE   \* MERGEFORMAT </w:instrText>
        </w:r>
        <w:r>
          <w:fldChar w:fldCharType="separate"/>
        </w:r>
        <w:r w:rsidR="007F2DDD">
          <w:rPr>
            <w:noProof/>
          </w:rPr>
          <w:t>1</w:t>
        </w:r>
        <w:r>
          <w:rPr>
            <w:noProof/>
          </w:rPr>
          <w:fldChar w:fldCharType="end"/>
        </w:r>
      </w:p>
    </w:sdtContent>
  </w:sdt>
  <w:p w:rsidR="00491D99" w:rsidRDefault="00491D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DDD" w:rsidRDefault="007F2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DCD" w:rsidRDefault="00A74DCD" w:rsidP="000E5060">
      <w:pPr>
        <w:spacing w:after="0" w:line="240" w:lineRule="auto"/>
      </w:pPr>
      <w:r>
        <w:separator/>
      </w:r>
    </w:p>
  </w:footnote>
  <w:footnote w:type="continuationSeparator" w:id="0">
    <w:p w:rsidR="00A74DCD" w:rsidRDefault="00A74DCD" w:rsidP="000E5060">
      <w:pPr>
        <w:spacing w:after="0" w:line="240" w:lineRule="auto"/>
      </w:pPr>
      <w:r>
        <w:continuationSeparator/>
      </w:r>
    </w:p>
  </w:footnote>
  <w:footnote w:id="1">
    <w:p w:rsidR="00E80276" w:rsidRPr="00E80276" w:rsidRDefault="00E80276">
      <w:pPr>
        <w:pStyle w:val="FootnoteText"/>
        <w:rPr>
          <w:lang w:val="en-IE"/>
        </w:rPr>
      </w:pPr>
      <w:r>
        <w:rPr>
          <w:rStyle w:val="FootnoteReference"/>
        </w:rPr>
        <w:footnoteRef/>
      </w:r>
      <w:r>
        <w:t xml:space="preserve"> </w:t>
      </w:r>
      <w:r>
        <w:rPr>
          <w:lang w:val="en-IE"/>
        </w:rPr>
        <w:t>CISs and CIPS deal annually with one million queries from the public.</w:t>
      </w:r>
    </w:p>
  </w:footnote>
  <w:footnote w:id="2">
    <w:p w:rsidR="007B1424" w:rsidRPr="007B1424" w:rsidRDefault="007B1424">
      <w:pPr>
        <w:pStyle w:val="FootnoteText"/>
        <w:rPr>
          <w:rFonts w:ascii="Arial" w:hAnsi="Arial" w:cs="Arial"/>
          <w:lang w:val="en-IE"/>
        </w:rPr>
      </w:pPr>
      <w:r w:rsidRPr="007B1424">
        <w:rPr>
          <w:rStyle w:val="FootnoteReference"/>
          <w:rFonts w:ascii="Arial" w:hAnsi="Arial" w:cs="Arial"/>
        </w:rPr>
        <w:footnoteRef/>
      </w:r>
      <w:r w:rsidRPr="007B1424">
        <w:rPr>
          <w:rFonts w:ascii="Arial" w:hAnsi="Arial" w:cs="Arial"/>
        </w:rPr>
        <w:t xml:space="preserve"> In particular,  the European Convention on Human Rights,  the UN Convention on the Rights of the Child and the UN Convention on the Rights of Persons with Disabilities</w:t>
      </w:r>
      <w:r>
        <w:rPr>
          <w:rFonts w:ascii="Arial" w:hAnsi="Arial" w:cs="Arial"/>
        </w:rPr>
        <w:t>.</w:t>
      </w:r>
    </w:p>
  </w:footnote>
  <w:footnote w:id="3">
    <w:p w:rsidR="006A0DD8" w:rsidRPr="006A0DD8" w:rsidRDefault="006A0DD8">
      <w:pPr>
        <w:pStyle w:val="FootnoteText"/>
        <w:rPr>
          <w:lang w:val="en-IE"/>
        </w:rPr>
      </w:pPr>
      <w:r w:rsidRPr="006A0DD8">
        <w:rPr>
          <w:rStyle w:val="FootnoteReference"/>
          <w:rFonts w:ascii="Arial" w:hAnsi="Arial" w:cs="Arial"/>
        </w:rPr>
        <w:footnoteRef/>
      </w:r>
      <w:r w:rsidRPr="006A0DD8">
        <w:rPr>
          <w:rFonts w:ascii="Arial" w:hAnsi="Arial" w:cs="Arial"/>
        </w:rPr>
        <w:t xml:space="preserve"> </w:t>
      </w:r>
      <w:r w:rsidRPr="006A0DD8">
        <w:rPr>
          <w:rFonts w:ascii="Arial" w:hAnsi="Arial" w:cs="Arial"/>
          <w:bCs/>
          <w:kern w:val="36"/>
          <w:lang w:eastAsia="en-IE"/>
        </w:rPr>
        <w:t>CIB service delivery par</w:t>
      </w:r>
      <w:r w:rsidRPr="006A0DD8">
        <w:rPr>
          <w:rFonts w:ascii="Arial" w:hAnsi="Arial" w:cs="Arial"/>
        </w:rPr>
        <w:t xml:space="preserve">tners </w:t>
      </w:r>
      <w:r>
        <w:rPr>
          <w:rFonts w:ascii="Arial" w:hAnsi="Arial" w:cs="Arial"/>
        </w:rPr>
        <w:t>are</w:t>
      </w:r>
      <w:r w:rsidRPr="006A0DD8">
        <w:rPr>
          <w:rFonts w:ascii="Arial" w:hAnsi="Arial" w:cs="Arial"/>
        </w:rPr>
        <w:t xml:space="preserve"> a rich source of data on citizens’ experiences of social services. Drawing on feedback from service delivery partners, t</w:t>
      </w:r>
      <w:r w:rsidRPr="006A0DD8">
        <w:rPr>
          <w:rFonts w:ascii="Arial" w:hAnsi="Arial" w:cs="Arial"/>
          <w:lang w:val="en-IE"/>
        </w:rPr>
        <w:t>he CIB compiles policy social policy reports and submissions on an ongoing basis based on this feedback. See</w:t>
      </w:r>
      <w:r>
        <w:rPr>
          <w:rFonts w:asciiTheme="minorHAnsi" w:hAnsiTheme="minorHAnsi"/>
          <w:lang w:val="en-IE"/>
        </w:rPr>
        <w:t xml:space="preserve"> </w:t>
      </w:r>
      <w:hyperlink r:id="rId1" w:history="1">
        <w:r>
          <w:rPr>
            <w:rStyle w:val="Hyperlink"/>
            <w:rFonts w:asciiTheme="minorHAnsi" w:hAnsiTheme="minorHAnsi"/>
            <w:lang w:val="en-IE"/>
          </w:rPr>
          <w:t>http://www.citizensinformationboard.ie/services/social/</w:t>
        </w:r>
      </w:hyperlink>
      <w:r>
        <w:rPr>
          <w:rFonts w:asciiTheme="minorHAnsi" w:hAnsiTheme="minorHAnsi"/>
          <w:lang w:val="en-IE"/>
        </w:rPr>
        <w:t xml:space="preserve"> </w:t>
      </w:r>
    </w:p>
  </w:footnote>
  <w:footnote w:id="4">
    <w:p w:rsidR="00495C54" w:rsidRDefault="00495C54" w:rsidP="00495C54">
      <w:pPr>
        <w:pStyle w:val="FootnoteText"/>
        <w:rPr>
          <w:rFonts w:ascii="Arial" w:hAnsi="Arial" w:cs="Arial"/>
          <w:lang w:val="en-IE"/>
        </w:rPr>
      </w:pPr>
      <w:r>
        <w:rPr>
          <w:rStyle w:val="FootnoteReference"/>
          <w:rFonts w:ascii="Arial" w:hAnsi="Arial" w:cs="Arial"/>
        </w:rPr>
        <w:footnoteRef/>
      </w:r>
      <w:r>
        <w:rPr>
          <w:rFonts w:ascii="Arial" w:hAnsi="Arial" w:cs="Arial"/>
        </w:rPr>
        <w:t xml:space="preserve"> </w:t>
      </w:r>
      <w:hyperlink r:id="rId2" w:history="1">
        <w:r>
          <w:rPr>
            <w:rStyle w:val="Hyperlink"/>
            <w:rFonts w:ascii="Arial" w:hAnsi="Arial" w:cs="Arial"/>
          </w:rPr>
          <w:t>http://internationalbudget.org/wp-content/uploads/Citizens-as-Partners-OECD-Handbook.pdf</w:t>
        </w:r>
      </w:hyperlink>
      <w:r>
        <w:rPr>
          <w:rFonts w:ascii="Arial" w:hAnsi="Arial" w:cs="Arial"/>
        </w:rPr>
        <w:t xml:space="preserve"> </w:t>
      </w:r>
    </w:p>
  </w:footnote>
  <w:footnote w:id="5">
    <w:p w:rsidR="00206D08" w:rsidRPr="00400DE9" w:rsidRDefault="00206D08" w:rsidP="004546D3">
      <w:pPr>
        <w:pStyle w:val="NoSpacing"/>
        <w:rPr>
          <w:rFonts w:asciiTheme="minorHAnsi" w:hAnsiTheme="minorHAnsi" w:cs="Arial"/>
          <w:sz w:val="20"/>
          <w:szCs w:val="20"/>
          <w:lang w:val="en-IE"/>
        </w:rPr>
      </w:pPr>
      <w:r w:rsidRPr="004546D3">
        <w:rPr>
          <w:rStyle w:val="FootnoteReference"/>
          <w:rFonts w:ascii="Arial" w:hAnsi="Arial" w:cs="Arial"/>
          <w:sz w:val="20"/>
          <w:szCs w:val="20"/>
        </w:rPr>
        <w:footnoteRef/>
      </w:r>
      <w:r w:rsidRPr="004546D3">
        <w:rPr>
          <w:rFonts w:ascii="Arial" w:hAnsi="Arial" w:cs="Arial"/>
          <w:sz w:val="20"/>
          <w:szCs w:val="20"/>
        </w:rPr>
        <w:t xml:space="preserve"> </w:t>
      </w:r>
      <w:r w:rsidRPr="00400DE9">
        <w:rPr>
          <w:rFonts w:asciiTheme="minorHAnsi" w:hAnsiTheme="minorHAnsi" w:cs="Arial"/>
          <w:sz w:val="20"/>
          <w:szCs w:val="20"/>
        </w:rPr>
        <w:t>Individualised supports are understood as individually-tailored personal and flexible supports which include a range of assistance and interventions required to enable an individual to live a fully included life in the community.</w:t>
      </w:r>
    </w:p>
  </w:footnote>
  <w:footnote w:id="6">
    <w:p w:rsidR="00E820A8" w:rsidRPr="00400DE9" w:rsidRDefault="00E820A8">
      <w:pPr>
        <w:pStyle w:val="FootnoteText"/>
        <w:rPr>
          <w:rFonts w:asciiTheme="minorHAnsi" w:hAnsiTheme="minorHAnsi" w:cs="Arial"/>
          <w:lang w:val="en-IE"/>
        </w:rPr>
      </w:pPr>
      <w:r w:rsidRPr="00400DE9">
        <w:rPr>
          <w:rStyle w:val="FootnoteReference"/>
          <w:rFonts w:asciiTheme="minorHAnsi" w:hAnsiTheme="minorHAnsi" w:cs="Arial"/>
        </w:rPr>
        <w:footnoteRef/>
      </w:r>
      <w:r w:rsidRPr="00400DE9">
        <w:rPr>
          <w:rFonts w:asciiTheme="minorHAnsi" w:hAnsiTheme="minorHAnsi" w:cs="Arial"/>
        </w:rPr>
        <w:t xml:space="preserve"> </w:t>
      </w:r>
      <w:r w:rsidRPr="00400DE9">
        <w:rPr>
          <w:rFonts w:asciiTheme="minorHAnsi" w:hAnsiTheme="minorHAnsi" w:cs="Arial"/>
          <w:lang w:val="en-IE"/>
        </w:rPr>
        <w:t>See, for example,</w:t>
      </w:r>
      <w:r w:rsidR="005A31D6" w:rsidRPr="00400DE9">
        <w:rPr>
          <w:rFonts w:asciiTheme="minorHAnsi" w:hAnsiTheme="minorHAnsi" w:cs="Arial"/>
          <w:lang w:val="en-IE"/>
        </w:rPr>
        <w:t xml:space="preserve"> </w:t>
      </w:r>
      <w:hyperlink r:id="rId3" w:history="1">
        <w:r w:rsidR="005A31D6" w:rsidRPr="00400DE9">
          <w:rPr>
            <w:rStyle w:val="Hyperlink"/>
            <w:rFonts w:asciiTheme="minorHAnsi" w:hAnsiTheme="minorHAnsi" w:cs="Arial"/>
            <w:lang w:val="en-IE"/>
          </w:rPr>
          <w:t>https://www.gov.uk/government/uploads/system/uploads/attachment_data/file/445731/LPE_Capitation.pdf</w:t>
        </w:r>
      </w:hyperlink>
      <w:r w:rsidR="005A31D6" w:rsidRPr="00400DE9">
        <w:rPr>
          <w:rFonts w:asciiTheme="minorHAnsi" w:hAnsiTheme="minorHAnsi" w:cs="Arial"/>
          <w:lang w:val="en-IE"/>
        </w:rPr>
        <w:t xml:space="preserve"> </w:t>
      </w:r>
    </w:p>
  </w:footnote>
  <w:footnote w:id="7">
    <w:p w:rsidR="004546D3" w:rsidRDefault="004546D3" w:rsidP="004546D3">
      <w:pPr>
        <w:pStyle w:val="NoSpacing"/>
        <w:rPr>
          <w:rFonts w:ascii="Arial" w:hAnsi="Arial" w:cs="Arial"/>
          <w:lang w:val="en-IE"/>
        </w:rPr>
      </w:pPr>
      <w:r>
        <w:rPr>
          <w:rStyle w:val="FootnoteReference"/>
          <w:rFonts w:ascii="Arial" w:hAnsi="Arial" w:cs="Arial"/>
        </w:rPr>
        <w:footnoteRef/>
      </w:r>
      <w:r>
        <w:rPr>
          <w:rFonts w:ascii="Arial" w:hAnsi="Arial" w:cs="Arial"/>
          <w:sz w:val="20"/>
          <w:szCs w:val="20"/>
        </w:rPr>
        <w:t xml:space="preserve"> </w:t>
      </w:r>
      <w:r w:rsidRPr="00EC5391">
        <w:rPr>
          <w:rFonts w:asciiTheme="minorHAnsi" w:hAnsiTheme="minorHAnsi" w:cs="Arial"/>
          <w:sz w:val="20"/>
          <w:szCs w:val="20"/>
        </w:rPr>
        <w:t xml:space="preserve">For example, the </w:t>
      </w:r>
      <w:proofErr w:type="spellStart"/>
      <w:r w:rsidRPr="00EC5391">
        <w:rPr>
          <w:rFonts w:asciiTheme="minorHAnsi" w:hAnsiTheme="minorHAnsi" w:cs="Arial"/>
          <w:sz w:val="20"/>
          <w:szCs w:val="20"/>
        </w:rPr>
        <w:t>JobPath</w:t>
      </w:r>
      <w:proofErr w:type="spellEnd"/>
      <w:r w:rsidRPr="00EC5391">
        <w:rPr>
          <w:rFonts w:asciiTheme="minorHAnsi" w:hAnsiTheme="minorHAnsi" w:cs="Arial"/>
          <w:sz w:val="20"/>
          <w:szCs w:val="20"/>
        </w:rPr>
        <w:t xml:space="preserve"> </w:t>
      </w:r>
      <w:proofErr w:type="gramStart"/>
      <w:r w:rsidRPr="00EC5391">
        <w:rPr>
          <w:rFonts w:asciiTheme="minorHAnsi" w:hAnsiTheme="minorHAnsi" w:cs="Arial"/>
          <w:sz w:val="20"/>
          <w:szCs w:val="20"/>
        </w:rPr>
        <w:t>programme,</w:t>
      </w:r>
      <w:proofErr w:type="gramEnd"/>
      <w:r w:rsidRPr="00EC5391">
        <w:rPr>
          <w:rFonts w:asciiTheme="minorHAnsi" w:hAnsiTheme="minorHAnsi" w:cs="Arial"/>
          <w:sz w:val="20"/>
          <w:szCs w:val="20"/>
        </w:rPr>
        <w:t xml:space="preserve"> the Social Inclusion and Community Activation Programme, the Prevention and Early Intervention Programme and the Area-Based Childhood Programme</w:t>
      </w:r>
      <w:r w:rsidR="00EC5391">
        <w:rPr>
          <w:rFonts w:asciiTheme="minorHAnsi" w:hAnsiTheme="minorHAnsi" w:cs="Arial"/>
          <w:sz w:val="20"/>
          <w:szCs w:val="20"/>
        </w:rPr>
        <w:t>.</w:t>
      </w:r>
      <w:r>
        <w:rPr>
          <w:rFonts w:ascii="Arial" w:hAnsi="Arial" w:cs="Arial"/>
          <w:sz w:val="20"/>
          <w:szCs w:val="20"/>
        </w:rPr>
        <w:t xml:space="preserve"> </w:t>
      </w:r>
      <w:r>
        <w:rPr>
          <w:rFonts w:ascii="Arial" w:hAnsi="Arial" w:cs="Arial"/>
          <w:sz w:val="20"/>
          <w:szCs w:val="20"/>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DDD" w:rsidRDefault="007F2D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DDD" w:rsidRDefault="007F2D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DDD" w:rsidRDefault="007F2D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585D"/>
    <w:multiLevelType w:val="hybridMultilevel"/>
    <w:tmpl w:val="4ADEAA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873517B"/>
    <w:multiLevelType w:val="hybridMultilevel"/>
    <w:tmpl w:val="357078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01C3419"/>
    <w:multiLevelType w:val="hybridMultilevel"/>
    <w:tmpl w:val="B21689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1EEA2A96"/>
    <w:multiLevelType w:val="hybridMultilevel"/>
    <w:tmpl w:val="F628DE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73B3E0B"/>
    <w:multiLevelType w:val="hybridMultilevel"/>
    <w:tmpl w:val="43A443A8"/>
    <w:lvl w:ilvl="0" w:tplc="D73E02FE">
      <w:numFmt w:val="bullet"/>
      <w:lvlText w:val=""/>
      <w:lvlJc w:val="left"/>
      <w:pPr>
        <w:ind w:left="720" w:hanging="360"/>
      </w:pPr>
      <w:rPr>
        <w:rFonts w:ascii="Wingdings" w:eastAsia="Times New Roman" w:hAnsi="Wingdings"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D4276D0"/>
    <w:multiLevelType w:val="hybridMultilevel"/>
    <w:tmpl w:val="D076B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1067309"/>
    <w:multiLevelType w:val="hybridMultilevel"/>
    <w:tmpl w:val="E76CC694"/>
    <w:lvl w:ilvl="0" w:tplc="6478B556">
      <w:start w:val="1"/>
      <w:numFmt w:val="low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nsid w:val="3DB04A53"/>
    <w:multiLevelType w:val="hybridMultilevel"/>
    <w:tmpl w:val="104C8522"/>
    <w:lvl w:ilvl="0" w:tplc="5F9C566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4BCC0431"/>
    <w:multiLevelType w:val="hybridMultilevel"/>
    <w:tmpl w:val="F0DE1420"/>
    <w:lvl w:ilvl="0" w:tplc="18090011">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nsid w:val="4CE8277F"/>
    <w:multiLevelType w:val="hybridMultilevel"/>
    <w:tmpl w:val="0010B0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3F63BFA"/>
    <w:multiLevelType w:val="hybridMultilevel"/>
    <w:tmpl w:val="51A6CB66"/>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57A4680F"/>
    <w:multiLevelType w:val="hybridMultilevel"/>
    <w:tmpl w:val="90848A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92F1BDF"/>
    <w:multiLevelType w:val="hybridMultilevel"/>
    <w:tmpl w:val="3DB232C8"/>
    <w:lvl w:ilvl="0" w:tplc="6478B556">
      <w:start w:val="1"/>
      <w:numFmt w:val="low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nsid w:val="5AB066EC"/>
    <w:multiLevelType w:val="hybridMultilevel"/>
    <w:tmpl w:val="5F70C864"/>
    <w:lvl w:ilvl="0" w:tplc="18090011">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nsid w:val="65506E65"/>
    <w:multiLevelType w:val="hybridMultilevel"/>
    <w:tmpl w:val="D2CC62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nsid w:val="67336B55"/>
    <w:multiLevelType w:val="hybridMultilevel"/>
    <w:tmpl w:val="DB5CF31E"/>
    <w:lvl w:ilvl="0" w:tplc="6478B556">
      <w:start w:val="1"/>
      <w:numFmt w:val="lowerRoman"/>
      <w:lvlText w:val="(%1)"/>
      <w:lvlJc w:val="left"/>
      <w:pPr>
        <w:tabs>
          <w:tab w:val="num" w:pos="1080"/>
        </w:tabs>
        <w:ind w:left="1080" w:hanging="720"/>
      </w:pPr>
    </w:lvl>
    <w:lvl w:ilvl="1" w:tplc="5F9C566A">
      <w:start w:val="1"/>
      <w:numFmt w:val="bullet"/>
      <w:lvlText w:val=""/>
      <w:lvlJc w:val="left"/>
      <w:pPr>
        <w:tabs>
          <w:tab w:val="num" w:pos="1440"/>
        </w:tabs>
        <w:ind w:left="1440" w:hanging="360"/>
      </w:pPr>
      <w:rPr>
        <w:rFonts w:ascii="Symbol" w:hAnsi="Symbol" w:hint="default"/>
        <w:color w:val="auto"/>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nsid w:val="683457C9"/>
    <w:multiLevelType w:val="hybridMultilevel"/>
    <w:tmpl w:val="FF76EE1E"/>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nsid w:val="6D1A3B20"/>
    <w:multiLevelType w:val="hybridMultilevel"/>
    <w:tmpl w:val="60980F86"/>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nsid w:val="7F1631E6"/>
    <w:multiLevelType w:val="hybridMultilevel"/>
    <w:tmpl w:val="F4B8DC00"/>
    <w:lvl w:ilvl="0" w:tplc="10DADD86">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4"/>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8"/>
  </w:num>
  <w:num w:numId="9">
    <w:abstractNumId w:val="13"/>
  </w:num>
  <w:num w:numId="10">
    <w:abstractNumId w:val="13"/>
  </w:num>
  <w:num w:numId="11">
    <w:abstractNumId w:val="17"/>
  </w:num>
  <w:num w:numId="12">
    <w:abstractNumId w:val="7"/>
  </w:num>
  <w:num w:numId="13">
    <w:abstractNumId w:val="4"/>
  </w:num>
  <w:num w:numId="14">
    <w:abstractNumId w:val="10"/>
  </w:num>
  <w:num w:numId="15">
    <w:abstractNumId w:val="9"/>
  </w:num>
  <w:num w:numId="16">
    <w:abstractNumId w:val="11"/>
  </w:num>
  <w:num w:numId="17">
    <w:abstractNumId w:val="7"/>
  </w:num>
  <w:num w:numId="18">
    <w:abstractNumId w:val="13"/>
  </w:num>
  <w:num w:numId="19">
    <w:abstractNumId w:val="2"/>
  </w:num>
  <w:num w:numId="20">
    <w:abstractNumId w:val="8"/>
  </w:num>
  <w:num w:numId="21">
    <w:abstractNumId w:val="5"/>
  </w:num>
  <w:num w:numId="22">
    <w:abstractNumId w:val="5"/>
  </w:num>
  <w:num w:numId="23">
    <w:abstractNumId w:val="17"/>
  </w:num>
  <w:num w:numId="24">
    <w:abstractNumId w:val="11"/>
  </w:num>
  <w:num w:numId="25">
    <w:abstractNumId w:val="0"/>
  </w:num>
  <w:num w:numId="26">
    <w:abstractNumId w:val="1"/>
  </w:num>
  <w:num w:numId="27">
    <w:abstractNumId w:val="1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FFB"/>
    <w:rsid w:val="000136E2"/>
    <w:rsid w:val="000203E6"/>
    <w:rsid w:val="000E5060"/>
    <w:rsid w:val="00106FDD"/>
    <w:rsid w:val="001120C1"/>
    <w:rsid w:val="00132FAD"/>
    <w:rsid w:val="00177810"/>
    <w:rsid w:val="00185107"/>
    <w:rsid w:val="00186AC8"/>
    <w:rsid w:val="001B6B7E"/>
    <w:rsid w:val="001F3A47"/>
    <w:rsid w:val="00206D08"/>
    <w:rsid w:val="0024571D"/>
    <w:rsid w:val="002A0108"/>
    <w:rsid w:val="002A32A1"/>
    <w:rsid w:val="002C0972"/>
    <w:rsid w:val="002D6C3D"/>
    <w:rsid w:val="00326B57"/>
    <w:rsid w:val="00334A57"/>
    <w:rsid w:val="0036535A"/>
    <w:rsid w:val="003814FB"/>
    <w:rsid w:val="00385E8E"/>
    <w:rsid w:val="00395E06"/>
    <w:rsid w:val="003B7D70"/>
    <w:rsid w:val="003D746A"/>
    <w:rsid w:val="00400DE9"/>
    <w:rsid w:val="00403821"/>
    <w:rsid w:val="00420B6E"/>
    <w:rsid w:val="004546D3"/>
    <w:rsid w:val="00470C7C"/>
    <w:rsid w:val="00491D99"/>
    <w:rsid w:val="00495C54"/>
    <w:rsid w:val="004A737A"/>
    <w:rsid w:val="004E0407"/>
    <w:rsid w:val="005249C0"/>
    <w:rsid w:val="0059054F"/>
    <w:rsid w:val="0059369A"/>
    <w:rsid w:val="005A31D6"/>
    <w:rsid w:val="005A7A10"/>
    <w:rsid w:val="005F3901"/>
    <w:rsid w:val="00603312"/>
    <w:rsid w:val="0064621D"/>
    <w:rsid w:val="00667668"/>
    <w:rsid w:val="00676D14"/>
    <w:rsid w:val="006A0DD8"/>
    <w:rsid w:val="006A6946"/>
    <w:rsid w:val="006B6D1E"/>
    <w:rsid w:val="00715015"/>
    <w:rsid w:val="007301CA"/>
    <w:rsid w:val="007515E3"/>
    <w:rsid w:val="0077480B"/>
    <w:rsid w:val="007B1424"/>
    <w:rsid w:val="007F2DDD"/>
    <w:rsid w:val="00882F90"/>
    <w:rsid w:val="0088546B"/>
    <w:rsid w:val="008A554A"/>
    <w:rsid w:val="008E7597"/>
    <w:rsid w:val="00941179"/>
    <w:rsid w:val="00945605"/>
    <w:rsid w:val="00975B22"/>
    <w:rsid w:val="009B0724"/>
    <w:rsid w:val="00A43EB0"/>
    <w:rsid w:val="00A678CA"/>
    <w:rsid w:val="00A74DCD"/>
    <w:rsid w:val="00B0723E"/>
    <w:rsid w:val="00B33497"/>
    <w:rsid w:val="00BA0026"/>
    <w:rsid w:val="00BC1204"/>
    <w:rsid w:val="00BD4BB8"/>
    <w:rsid w:val="00C024D7"/>
    <w:rsid w:val="00C34983"/>
    <w:rsid w:val="00CA5410"/>
    <w:rsid w:val="00D47FFB"/>
    <w:rsid w:val="00DE100F"/>
    <w:rsid w:val="00E25AEF"/>
    <w:rsid w:val="00E80276"/>
    <w:rsid w:val="00E820A8"/>
    <w:rsid w:val="00EC5391"/>
    <w:rsid w:val="00F112CE"/>
    <w:rsid w:val="00F3318D"/>
    <w:rsid w:val="00F54B91"/>
    <w:rsid w:val="00F8210B"/>
    <w:rsid w:val="00FB6E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1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060"/>
    <w:rPr>
      <w:color w:val="0000FF" w:themeColor="hyperlink"/>
      <w:u w:val="single"/>
    </w:rPr>
  </w:style>
  <w:style w:type="character" w:customStyle="1" w:styleId="FootnoteTextChar">
    <w:name w:val="Footnote Text Char"/>
    <w:aliases w:val="Footnotes Char"/>
    <w:basedOn w:val="DefaultParagraphFont"/>
    <w:link w:val="FootnoteText"/>
    <w:semiHidden/>
    <w:locked/>
    <w:rsid w:val="000E5060"/>
    <w:rPr>
      <w:rFonts w:ascii="Times New Roman" w:eastAsia="Times New Roman" w:hAnsi="Times New Roman" w:cs="Times New Roman"/>
      <w:sz w:val="20"/>
      <w:szCs w:val="20"/>
      <w:lang w:val="en-GB"/>
    </w:rPr>
  </w:style>
  <w:style w:type="paragraph" w:styleId="FootnoteText">
    <w:name w:val="footnote text"/>
    <w:aliases w:val="Footnotes"/>
    <w:basedOn w:val="Normal"/>
    <w:link w:val="FootnoteTextChar"/>
    <w:semiHidden/>
    <w:unhideWhenUsed/>
    <w:rsid w:val="000E5060"/>
    <w:pPr>
      <w:spacing w:after="0" w:line="240" w:lineRule="auto"/>
    </w:pPr>
    <w:rPr>
      <w:rFonts w:ascii="Times New Roman" w:eastAsia="Times New Roman" w:hAnsi="Times New Roman" w:cs="Times New Roman"/>
      <w:sz w:val="20"/>
      <w:szCs w:val="20"/>
      <w:lang w:val="en-GB"/>
    </w:rPr>
  </w:style>
  <w:style w:type="character" w:customStyle="1" w:styleId="FootnoteTextChar1">
    <w:name w:val="Footnote Text Char1"/>
    <w:basedOn w:val="DefaultParagraphFont"/>
    <w:uiPriority w:val="99"/>
    <w:semiHidden/>
    <w:rsid w:val="000E5060"/>
    <w:rPr>
      <w:sz w:val="20"/>
      <w:szCs w:val="20"/>
    </w:rPr>
  </w:style>
  <w:style w:type="character" w:styleId="FootnoteReference">
    <w:name w:val="footnote reference"/>
    <w:basedOn w:val="DefaultParagraphFont"/>
    <w:semiHidden/>
    <w:unhideWhenUsed/>
    <w:rsid w:val="000E5060"/>
    <w:rPr>
      <w:vertAlign w:val="superscript"/>
    </w:rPr>
  </w:style>
  <w:style w:type="paragraph" w:styleId="ListParagraph">
    <w:name w:val="List Paragraph"/>
    <w:basedOn w:val="Normal"/>
    <w:uiPriority w:val="34"/>
    <w:qFormat/>
    <w:rsid w:val="000E5060"/>
    <w:pPr>
      <w:ind w:left="720"/>
      <w:contextualSpacing/>
    </w:pPr>
  </w:style>
  <w:style w:type="paragraph" w:styleId="NoSpacing">
    <w:name w:val="No Spacing"/>
    <w:uiPriority w:val="1"/>
    <w:qFormat/>
    <w:rsid w:val="000E5060"/>
    <w:pPr>
      <w:spacing w:after="0" w:line="240" w:lineRule="auto"/>
    </w:pPr>
    <w:rPr>
      <w:rFonts w:ascii="Times New Roman" w:eastAsia="Times New Roman" w:hAnsi="Times New Roman" w:cs="Times New Roman"/>
      <w:sz w:val="24"/>
      <w:szCs w:val="24"/>
      <w:lang w:val="en-GB"/>
    </w:rPr>
  </w:style>
  <w:style w:type="paragraph" w:styleId="Title">
    <w:name w:val="Title"/>
    <w:basedOn w:val="Normal"/>
    <w:next w:val="Normal"/>
    <w:link w:val="TitleChar"/>
    <w:uiPriority w:val="10"/>
    <w:qFormat/>
    <w:rsid w:val="00593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69A"/>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nhideWhenUsed/>
    <w:rsid w:val="00BC1204"/>
    <w:pPr>
      <w:spacing w:after="0" w:line="240" w:lineRule="auto"/>
    </w:pPr>
    <w:rPr>
      <w:rFonts w:ascii="Times New Roman" w:eastAsia="Times New Roman" w:hAnsi="Times New Roman" w:cs="Times New Roman"/>
      <w:color w:val="000000"/>
      <w:sz w:val="24"/>
      <w:szCs w:val="24"/>
      <w:lang w:val="en-GB"/>
    </w:rPr>
  </w:style>
  <w:style w:type="character" w:customStyle="1" w:styleId="BodyTextChar">
    <w:name w:val="Body Text Char"/>
    <w:basedOn w:val="DefaultParagraphFont"/>
    <w:link w:val="BodyText"/>
    <w:rsid w:val="00BC1204"/>
    <w:rPr>
      <w:rFonts w:ascii="Times New Roman" w:eastAsia="Times New Roman" w:hAnsi="Times New Roman" w:cs="Times New Roman"/>
      <w:color w:val="000000"/>
      <w:sz w:val="24"/>
      <w:szCs w:val="24"/>
      <w:lang w:val="en-GB"/>
    </w:rPr>
  </w:style>
  <w:style w:type="paragraph" w:styleId="Header">
    <w:name w:val="header"/>
    <w:basedOn w:val="Normal"/>
    <w:link w:val="HeaderChar"/>
    <w:uiPriority w:val="99"/>
    <w:unhideWhenUsed/>
    <w:rsid w:val="00491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D99"/>
  </w:style>
  <w:style w:type="paragraph" w:styleId="Footer">
    <w:name w:val="footer"/>
    <w:basedOn w:val="Normal"/>
    <w:link w:val="FooterChar"/>
    <w:uiPriority w:val="99"/>
    <w:unhideWhenUsed/>
    <w:rsid w:val="00491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D99"/>
  </w:style>
  <w:style w:type="paragraph" w:styleId="BalloonText">
    <w:name w:val="Balloon Text"/>
    <w:basedOn w:val="Normal"/>
    <w:link w:val="BalloonTextChar"/>
    <w:uiPriority w:val="99"/>
    <w:semiHidden/>
    <w:unhideWhenUsed/>
    <w:rsid w:val="002D6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C3D"/>
    <w:rPr>
      <w:rFonts w:ascii="Tahoma" w:hAnsi="Tahoma" w:cs="Tahoma"/>
      <w:sz w:val="16"/>
      <w:szCs w:val="16"/>
    </w:rPr>
  </w:style>
  <w:style w:type="character" w:styleId="FollowedHyperlink">
    <w:name w:val="FollowedHyperlink"/>
    <w:basedOn w:val="DefaultParagraphFont"/>
    <w:uiPriority w:val="99"/>
    <w:semiHidden/>
    <w:unhideWhenUsed/>
    <w:rsid w:val="00975B22"/>
    <w:rPr>
      <w:color w:val="800080" w:themeColor="followedHyperlink"/>
      <w:u w:val="single"/>
    </w:rPr>
  </w:style>
  <w:style w:type="paragraph" w:styleId="NormalWeb">
    <w:name w:val="Normal (Web)"/>
    <w:basedOn w:val="Normal"/>
    <w:uiPriority w:val="99"/>
    <w:unhideWhenUsed/>
    <w:rsid w:val="00B0723E"/>
    <w:pPr>
      <w:spacing w:after="0" w:line="240" w:lineRule="auto"/>
    </w:pPr>
    <w:rPr>
      <w:rFonts w:ascii="Times New Roman" w:hAnsi="Times New Roman" w:cs="Times New Roman"/>
      <w:sz w:val="24"/>
      <w:szCs w:val="24"/>
      <w:lang w:eastAsia="en-IE"/>
    </w:rPr>
  </w:style>
  <w:style w:type="character" w:styleId="Strong">
    <w:name w:val="Strong"/>
    <w:basedOn w:val="DefaultParagraphFont"/>
    <w:uiPriority w:val="22"/>
    <w:qFormat/>
    <w:rsid w:val="00B072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1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060"/>
    <w:rPr>
      <w:color w:val="0000FF" w:themeColor="hyperlink"/>
      <w:u w:val="single"/>
    </w:rPr>
  </w:style>
  <w:style w:type="character" w:customStyle="1" w:styleId="FootnoteTextChar">
    <w:name w:val="Footnote Text Char"/>
    <w:aliases w:val="Footnotes Char"/>
    <w:basedOn w:val="DefaultParagraphFont"/>
    <w:link w:val="FootnoteText"/>
    <w:semiHidden/>
    <w:locked/>
    <w:rsid w:val="000E5060"/>
    <w:rPr>
      <w:rFonts w:ascii="Times New Roman" w:eastAsia="Times New Roman" w:hAnsi="Times New Roman" w:cs="Times New Roman"/>
      <w:sz w:val="20"/>
      <w:szCs w:val="20"/>
      <w:lang w:val="en-GB"/>
    </w:rPr>
  </w:style>
  <w:style w:type="paragraph" w:styleId="FootnoteText">
    <w:name w:val="footnote text"/>
    <w:aliases w:val="Footnotes"/>
    <w:basedOn w:val="Normal"/>
    <w:link w:val="FootnoteTextChar"/>
    <w:semiHidden/>
    <w:unhideWhenUsed/>
    <w:rsid w:val="000E5060"/>
    <w:pPr>
      <w:spacing w:after="0" w:line="240" w:lineRule="auto"/>
    </w:pPr>
    <w:rPr>
      <w:rFonts w:ascii="Times New Roman" w:eastAsia="Times New Roman" w:hAnsi="Times New Roman" w:cs="Times New Roman"/>
      <w:sz w:val="20"/>
      <w:szCs w:val="20"/>
      <w:lang w:val="en-GB"/>
    </w:rPr>
  </w:style>
  <w:style w:type="character" w:customStyle="1" w:styleId="FootnoteTextChar1">
    <w:name w:val="Footnote Text Char1"/>
    <w:basedOn w:val="DefaultParagraphFont"/>
    <w:uiPriority w:val="99"/>
    <w:semiHidden/>
    <w:rsid w:val="000E5060"/>
    <w:rPr>
      <w:sz w:val="20"/>
      <w:szCs w:val="20"/>
    </w:rPr>
  </w:style>
  <w:style w:type="character" w:styleId="FootnoteReference">
    <w:name w:val="footnote reference"/>
    <w:basedOn w:val="DefaultParagraphFont"/>
    <w:semiHidden/>
    <w:unhideWhenUsed/>
    <w:rsid w:val="000E5060"/>
    <w:rPr>
      <w:vertAlign w:val="superscript"/>
    </w:rPr>
  </w:style>
  <w:style w:type="paragraph" w:styleId="ListParagraph">
    <w:name w:val="List Paragraph"/>
    <w:basedOn w:val="Normal"/>
    <w:uiPriority w:val="34"/>
    <w:qFormat/>
    <w:rsid w:val="000E5060"/>
    <w:pPr>
      <w:ind w:left="720"/>
      <w:contextualSpacing/>
    </w:pPr>
  </w:style>
  <w:style w:type="paragraph" w:styleId="NoSpacing">
    <w:name w:val="No Spacing"/>
    <w:uiPriority w:val="1"/>
    <w:qFormat/>
    <w:rsid w:val="000E5060"/>
    <w:pPr>
      <w:spacing w:after="0" w:line="240" w:lineRule="auto"/>
    </w:pPr>
    <w:rPr>
      <w:rFonts w:ascii="Times New Roman" w:eastAsia="Times New Roman" w:hAnsi="Times New Roman" w:cs="Times New Roman"/>
      <w:sz w:val="24"/>
      <w:szCs w:val="24"/>
      <w:lang w:val="en-GB"/>
    </w:rPr>
  </w:style>
  <w:style w:type="paragraph" w:styleId="Title">
    <w:name w:val="Title"/>
    <w:basedOn w:val="Normal"/>
    <w:next w:val="Normal"/>
    <w:link w:val="TitleChar"/>
    <w:uiPriority w:val="10"/>
    <w:qFormat/>
    <w:rsid w:val="00593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69A"/>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nhideWhenUsed/>
    <w:rsid w:val="00BC1204"/>
    <w:pPr>
      <w:spacing w:after="0" w:line="240" w:lineRule="auto"/>
    </w:pPr>
    <w:rPr>
      <w:rFonts w:ascii="Times New Roman" w:eastAsia="Times New Roman" w:hAnsi="Times New Roman" w:cs="Times New Roman"/>
      <w:color w:val="000000"/>
      <w:sz w:val="24"/>
      <w:szCs w:val="24"/>
      <w:lang w:val="en-GB"/>
    </w:rPr>
  </w:style>
  <w:style w:type="character" w:customStyle="1" w:styleId="BodyTextChar">
    <w:name w:val="Body Text Char"/>
    <w:basedOn w:val="DefaultParagraphFont"/>
    <w:link w:val="BodyText"/>
    <w:rsid w:val="00BC1204"/>
    <w:rPr>
      <w:rFonts w:ascii="Times New Roman" w:eastAsia="Times New Roman" w:hAnsi="Times New Roman" w:cs="Times New Roman"/>
      <w:color w:val="000000"/>
      <w:sz w:val="24"/>
      <w:szCs w:val="24"/>
      <w:lang w:val="en-GB"/>
    </w:rPr>
  </w:style>
  <w:style w:type="paragraph" w:styleId="Header">
    <w:name w:val="header"/>
    <w:basedOn w:val="Normal"/>
    <w:link w:val="HeaderChar"/>
    <w:uiPriority w:val="99"/>
    <w:unhideWhenUsed/>
    <w:rsid w:val="00491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D99"/>
  </w:style>
  <w:style w:type="paragraph" w:styleId="Footer">
    <w:name w:val="footer"/>
    <w:basedOn w:val="Normal"/>
    <w:link w:val="FooterChar"/>
    <w:uiPriority w:val="99"/>
    <w:unhideWhenUsed/>
    <w:rsid w:val="00491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D99"/>
  </w:style>
  <w:style w:type="paragraph" w:styleId="BalloonText">
    <w:name w:val="Balloon Text"/>
    <w:basedOn w:val="Normal"/>
    <w:link w:val="BalloonTextChar"/>
    <w:uiPriority w:val="99"/>
    <w:semiHidden/>
    <w:unhideWhenUsed/>
    <w:rsid w:val="002D6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C3D"/>
    <w:rPr>
      <w:rFonts w:ascii="Tahoma" w:hAnsi="Tahoma" w:cs="Tahoma"/>
      <w:sz w:val="16"/>
      <w:szCs w:val="16"/>
    </w:rPr>
  </w:style>
  <w:style w:type="character" w:styleId="FollowedHyperlink">
    <w:name w:val="FollowedHyperlink"/>
    <w:basedOn w:val="DefaultParagraphFont"/>
    <w:uiPriority w:val="99"/>
    <w:semiHidden/>
    <w:unhideWhenUsed/>
    <w:rsid w:val="00975B22"/>
    <w:rPr>
      <w:color w:val="800080" w:themeColor="followedHyperlink"/>
      <w:u w:val="single"/>
    </w:rPr>
  </w:style>
  <w:style w:type="paragraph" w:styleId="NormalWeb">
    <w:name w:val="Normal (Web)"/>
    <w:basedOn w:val="Normal"/>
    <w:uiPriority w:val="99"/>
    <w:unhideWhenUsed/>
    <w:rsid w:val="00B0723E"/>
    <w:pPr>
      <w:spacing w:after="0" w:line="240" w:lineRule="auto"/>
    </w:pPr>
    <w:rPr>
      <w:rFonts w:ascii="Times New Roman" w:hAnsi="Times New Roman" w:cs="Times New Roman"/>
      <w:sz w:val="24"/>
      <w:szCs w:val="24"/>
      <w:lang w:eastAsia="en-IE"/>
    </w:rPr>
  </w:style>
  <w:style w:type="character" w:styleId="Strong">
    <w:name w:val="Strong"/>
    <w:basedOn w:val="DefaultParagraphFont"/>
    <w:uiPriority w:val="22"/>
    <w:qFormat/>
    <w:rsid w:val="00B072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1532">
      <w:bodyDiv w:val="1"/>
      <w:marLeft w:val="0"/>
      <w:marRight w:val="0"/>
      <w:marTop w:val="0"/>
      <w:marBottom w:val="0"/>
      <w:divBdr>
        <w:top w:val="none" w:sz="0" w:space="0" w:color="auto"/>
        <w:left w:val="none" w:sz="0" w:space="0" w:color="auto"/>
        <w:bottom w:val="none" w:sz="0" w:space="0" w:color="auto"/>
        <w:right w:val="none" w:sz="0" w:space="0" w:color="auto"/>
      </w:divBdr>
    </w:div>
    <w:div w:id="51930648">
      <w:bodyDiv w:val="1"/>
      <w:marLeft w:val="0"/>
      <w:marRight w:val="0"/>
      <w:marTop w:val="0"/>
      <w:marBottom w:val="0"/>
      <w:divBdr>
        <w:top w:val="none" w:sz="0" w:space="0" w:color="auto"/>
        <w:left w:val="none" w:sz="0" w:space="0" w:color="auto"/>
        <w:bottom w:val="none" w:sz="0" w:space="0" w:color="auto"/>
        <w:right w:val="none" w:sz="0" w:space="0" w:color="auto"/>
      </w:divBdr>
    </w:div>
    <w:div w:id="82068298">
      <w:bodyDiv w:val="1"/>
      <w:marLeft w:val="0"/>
      <w:marRight w:val="0"/>
      <w:marTop w:val="0"/>
      <w:marBottom w:val="0"/>
      <w:divBdr>
        <w:top w:val="none" w:sz="0" w:space="0" w:color="auto"/>
        <w:left w:val="none" w:sz="0" w:space="0" w:color="auto"/>
        <w:bottom w:val="none" w:sz="0" w:space="0" w:color="auto"/>
        <w:right w:val="none" w:sz="0" w:space="0" w:color="auto"/>
      </w:divBdr>
    </w:div>
    <w:div w:id="91703683">
      <w:bodyDiv w:val="1"/>
      <w:marLeft w:val="0"/>
      <w:marRight w:val="0"/>
      <w:marTop w:val="0"/>
      <w:marBottom w:val="0"/>
      <w:divBdr>
        <w:top w:val="none" w:sz="0" w:space="0" w:color="auto"/>
        <w:left w:val="none" w:sz="0" w:space="0" w:color="auto"/>
        <w:bottom w:val="none" w:sz="0" w:space="0" w:color="auto"/>
        <w:right w:val="none" w:sz="0" w:space="0" w:color="auto"/>
      </w:divBdr>
    </w:div>
    <w:div w:id="107509269">
      <w:bodyDiv w:val="1"/>
      <w:marLeft w:val="0"/>
      <w:marRight w:val="0"/>
      <w:marTop w:val="0"/>
      <w:marBottom w:val="0"/>
      <w:divBdr>
        <w:top w:val="none" w:sz="0" w:space="0" w:color="auto"/>
        <w:left w:val="none" w:sz="0" w:space="0" w:color="auto"/>
        <w:bottom w:val="none" w:sz="0" w:space="0" w:color="auto"/>
        <w:right w:val="none" w:sz="0" w:space="0" w:color="auto"/>
      </w:divBdr>
    </w:div>
    <w:div w:id="159934043">
      <w:bodyDiv w:val="1"/>
      <w:marLeft w:val="0"/>
      <w:marRight w:val="0"/>
      <w:marTop w:val="0"/>
      <w:marBottom w:val="0"/>
      <w:divBdr>
        <w:top w:val="none" w:sz="0" w:space="0" w:color="auto"/>
        <w:left w:val="none" w:sz="0" w:space="0" w:color="auto"/>
        <w:bottom w:val="none" w:sz="0" w:space="0" w:color="auto"/>
        <w:right w:val="none" w:sz="0" w:space="0" w:color="auto"/>
      </w:divBdr>
    </w:div>
    <w:div w:id="174351040">
      <w:bodyDiv w:val="1"/>
      <w:marLeft w:val="0"/>
      <w:marRight w:val="0"/>
      <w:marTop w:val="0"/>
      <w:marBottom w:val="0"/>
      <w:divBdr>
        <w:top w:val="none" w:sz="0" w:space="0" w:color="auto"/>
        <w:left w:val="none" w:sz="0" w:space="0" w:color="auto"/>
        <w:bottom w:val="none" w:sz="0" w:space="0" w:color="auto"/>
        <w:right w:val="none" w:sz="0" w:space="0" w:color="auto"/>
      </w:divBdr>
    </w:div>
    <w:div w:id="210846566">
      <w:bodyDiv w:val="1"/>
      <w:marLeft w:val="0"/>
      <w:marRight w:val="0"/>
      <w:marTop w:val="0"/>
      <w:marBottom w:val="0"/>
      <w:divBdr>
        <w:top w:val="none" w:sz="0" w:space="0" w:color="auto"/>
        <w:left w:val="none" w:sz="0" w:space="0" w:color="auto"/>
        <w:bottom w:val="none" w:sz="0" w:space="0" w:color="auto"/>
        <w:right w:val="none" w:sz="0" w:space="0" w:color="auto"/>
      </w:divBdr>
    </w:div>
    <w:div w:id="244264313">
      <w:bodyDiv w:val="1"/>
      <w:marLeft w:val="0"/>
      <w:marRight w:val="0"/>
      <w:marTop w:val="0"/>
      <w:marBottom w:val="0"/>
      <w:divBdr>
        <w:top w:val="none" w:sz="0" w:space="0" w:color="auto"/>
        <w:left w:val="none" w:sz="0" w:space="0" w:color="auto"/>
        <w:bottom w:val="none" w:sz="0" w:space="0" w:color="auto"/>
        <w:right w:val="none" w:sz="0" w:space="0" w:color="auto"/>
      </w:divBdr>
    </w:div>
    <w:div w:id="252200745">
      <w:bodyDiv w:val="1"/>
      <w:marLeft w:val="0"/>
      <w:marRight w:val="0"/>
      <w:marTop w:val="0"/>
      <w:marBottom w:val="0"/>
      <w:divBdr>
        <w:top w:val="none" w:sz="0" w:space="0" w:color="auto"/>
        <w:left w:val="none" w:sz="0" w:space="0" w:color="auto"/>
        <w:bottom w:val="none" w:sz="0" w:space="0" w:color="auto"/>
        <w:right w:val="none" w:sz="0" w:space="0" w:color="auto"/>
      </w:divBdr>
    </w:div>
    <w:div w:id="256909100">
      <w:bodyDiv w:val="1"/>
      <w:marLeft w:val="0"/>
      <w:marRight w:val="0"/>
      <w:marTop w:val="0"/>
      <w:marBottom w:val="0"/>
      <w:divBdr>
        <w:top w:val="none" w:sz="0" w:space="0" w:color="auto"/>
        <w:left w:val="none" w:sz="0" w:space="0" w:color="auto"/>
        <w:bottom w:val="none" w:sz="0" w:space="0" w:color="auto"/>
        <w:right w:val="none" w:sz="0" w:space="0" w:color="auto"/>
      </w:divBdr>
    </w:div>
    <w:div w:id="266234688">
      <w:bodyDiv w:val="1"/>
      <w:marLeft w:val="0"/>
      <w:marRight w:val="0"/>
      <w:marTop w:val="0"/>
      <w:marBottom w:val="0"/>
      <w:divBdr>
        <w:top w:val="none" w:sz="0" w:space="0" w:color="auto"/>
        <w:left w:val="none" w:sz="0" w:space="0" w:color="auto"/>
        <w:bottom w:val="none" w:sz="0" w:space="0" w:color="auto"/>
        <w:right w:val="none" w:sz="0" w:space="0" w:color="auto"/>
      </w:divBdr>
    </w:div>
    <w:div w:id="275337788">
      <w:bodyDiv w:val="1"/>
      <w:marLeft w:val="0"/>
      <w:marRight w:val="0"/>
      <w:marTop w:val="0"/>
      <w:marBottom w:val="0"/>
      <w:divBdr>
        <w:top w:val="none" w:sz="0" w:space="0" w:color="auto"/>
        <w:left w:val="none" w:sz="0" w:space="0" w:color="auto"/>
        <w:bottom w:val="none" w:sz="0" w:space="0" w:color="auto"/>
        <w:right w:val="none" w:sz="0" w:space="0" w:color="auto"/>
      </w:divBdr>
    </w:div>
    <w:div w:id="282419092">
      <w:bodyDiv w:val="1"/>
      <w:marLeft w:val="0"/>
      <w:marRight w:val="0"/>
      <w:marTop w:val="0"/>
      <w:marBottom w:val="0"/>
      <w:divBdr>
        <w:top w:val="none" w:sz="0" w:space="0" w:color="auto"/>
        <w:left w:val="none" w:sz="0" w:space="0" w:color="auto"/>
        <w:bottom w:val="none" w:sz="0" w:space="0" w:color="auto"/>
        <w:right w:val="none" w:sz="0" w:space="0" w:color="auto"/>
      </w:divBdr>
    </w:div>
    <w:div w:id="284580446">
      <w:bodyDiv w:val="1"/>
      <w:marLeft w:val="0"/>
      <w:marRight w:val="0"/>
      <w:marTop w:val="0"/>
      <w:marBottom w:val="0"/>
      <w:divBdr>
        <w:top w:val="none" w:sz="0" w:space="0" w:color="auto"/>
        <w:left w:val="none" w:sz="0" w:space="0" w:color="auto"/>
        <w:bottom w:val="none" w:sz="0" w:space="0" w:color="auto"/>
        <w:right w:val="none" w:sz="0" w:space="0" w:color="auto"/>
      </w:divBdr>
    </w:div>
    <w:div w:id="295575395">
      <w:bodyDiv w:val="1"/>
      <w:marLeft w:val="0"/>
      <w:marRight w:val="0"/>
      <w:marTop w:val="0"/>
      <w:marBottom w:val="0"/>
      <w:divBdr>
        <w:top w:val="none" w:sz="0" w:space="0" w:color="auto"/>
        <w:left w:val="none" w:sz="0" w:space="0" w:color="auto"/>
        <w:bottom w:val="none" w:sz="0" w:space="0" w:color="auto"/>
        <w:right w:val="none" w:sz="0" w:space="0" w:color="auto"/>
      </w:divBdr>
    </w:div>
    <w:div w:id="373038915">
      <w:bodyDiv w:val="1"/>
      <w:marLeft w:val="0"/>
      <w:marRight w:val="0"/>
      <w:marTop w:val="0"/>
      <w:marBottom w:val="0"/>
      <w:divBdr>
        <w:top w:val="none" w:sz="0" w:space="0" w:color="auto"/>
        <w:left w:val="none" w:sz="0" w:space="0" w:color="auto"/>
        <w:bottom w:val="none" w:sz="0" w:space="0" w:color="auto"/>
        <w:right w:val="none" w:sz="0" w:space="0" w:color="auto"/>
      </w:divBdr>
    </w:div>
    <w:div w:id="441002945">
      <w:bodyDiv w:val="1"/>
      <w:marLeft w:val="0"/>
      <w:marRight w:val="0"/>
      <w:marTop w:val="0"/>
      <w:marBottom w:val="0"/>
      <w:divBdr>
        <w:top w:val="none" w:sz="0" w:space="0" w:color="auto"/>
        <w:left w:val="none" w:sz="0" w:space="0" w:color="auto"/>
        <w:bottom w:val="none" w:sz="0" w:space="0" w:color="auto"/>
        <w:right w:val="none" w:sz="0" w:space="0" w:color="auto"/>
      </w:divBdr>
    </w:div>
    <w:div w:id="442652623">
      <w:bodyDiv w:val="1"/>
      <w:marLeft w:val="0"/>
      <w:marRight w:val="0"/>
      <w:marTop w:val="0"/>
      <w:marBottom w:val="0"/>
      <w:divBdr>
        <w:top w:val="none" w:sz="0" w:space="0" w:color="auto"/>
        <w:left w:val="none" w:sz="0" w:space="0" w:color="auto"/>
        <w:bottom w:val="none" w:sz="0" w:space="0" w:color="auto"/>
        <w:right w:val="none" w:sz="0" w:space="0" w:color="auto"/>
      </w:divBdr>
    </w:div>
    <w:div w:id="454956836">
      <w:bodyDiv w:val="1"/>
      <w:marLeft w:val="0"/>
      <w:marRight w:val="0"/>
      <w:marTop w:val="0"/>
      <w:marBottom w:val="0"/>
      <w:divBdr>
        <w:top w:val="none" w:sz="0" w:space="0" w:color="auto"/>
        <w:left w:val="none" w:sz="0" w:space="0" w:color="auto"/>
        <w:bottom w:val="none" w:sz="0" w:space="0" w:color="auto"/>
        <w:right w:val="none" w:sz="0" w:space="0" w:color="auto"/>
      </w:divBdr>
    </w:div>
    <w:div w:id="513494250">
      <w:bodyDiv w:val="1"/>
      <w:marLeft w:val="0"/>
      <w:marRight w:val="0"/>
      <w:marTop w:val="0"/>
      <w:marBottom w:val="0"/>
      <w:divBdr>
        <w:top w:val="none" w:sz="0" w:space="0" w:color="auto"/>
        <w:left w:val="none" w:sz="0" w:space="0" w:color="auto"/>
        <w:bottom w:val="none" w:sz="0" w:space="0" w:color="auto"/>
        <w:right w:val="none" w:sz="0" w:space="0" w:color="auto"/>
      </w:divBdr>
    </w:div>
    <w:div w:id="551354428">
      <w:bodyDiv w:val="1"/>
      <w:marLeft w:val="0"/>
      <w:marRight w:val="0"/>
      <w:marTop w:val="0"/>
      <w:marBottom w:val="0"/>
      <w:divBdr>
        <w:top w:val="none" w:sz="0" w:space="0" w:color="auto"/>
        <w:left w:val="none" w:sz="0" w:space="0" w:color="auto"/>
        <w:bottom w:val="none" w:sz="0" w:space="0" w:color="auto"/>
        <w:right w:val="none" w:sz="0" w:space="0" w:color="auto"/>
      </w:divBdr>
    </w:div>
    <w:div w:id="583337468">
      <w:bodyDiv w:val="1"/>
      <w:marLeft w:val="0"/>
      <w:marRight w:val="0"/>
      <w:marTop w:val="0"/>
      <w:marBottom w:val="0"/>
      <w:divBdr>
        <w:top w:val="none" w:sz="0" w:space="0" w:color="auto"/>
        <w:left w:val="none" w:sz="0" w:space="0" w:color="auto"/>
        <w:bottom w:val="none" w:sz="0" w:space="0" w:color="auto"/>
        <w:right w:val="none" w:sz="0" w:space="0" w:color="auto"/>
      </w:divBdr>
    </w:div>
    <w:div w:id="598568461">
      <w:bodyDiv w:val="1"/>
      <w:marLeft w:val="0"/>
      <w:marRight w:val="0"/>
      <w:marTop w:val="0"/>
      <w:marBottom w:val="0"/>
      <w:divBdr>
        <w:top w:val="none" w:sz="0" w:space="0" w:color="auto"/>
        <w:left w:val="none" w:sz="0" w:space="0" w:color="auto"/>
        <w:bottom w:val="none" w:sz="0" w:space="0" w:color="auto"/>
        <w:right w:val="none" w:sz="0" w:space="0" w:color="auto"/>
      </w:divBdr>
    </w:div>
    <w:div w:id="611404317">
      <w:bodyDiv w:val="1"/>
      <w:marLeft w:val="0"/>
      <w:marRight w:val="0"/>
      <w:marTop w:val="0"/>
      <w:marBottom w:val="0"/>
      <w:divBdr>
        <w:top w:val="none" w:sz="0" w:space="0" w:color="auto"/>
        <w:left w:val="none" w:sz="0" w:space="0" w:color="auto"/>
        <w:bottom w:val="none" w:sz="0" w:space="0" w:color="auto"/>
        <w:right w:val="none" w:sz="0" w:space="0" w:color="auto"/>
      </w:divBdr>
    </w:div>
    <w:div w:id="612321399">
      <w:bodyDiv w:val="1"/>
      <w:marLeft w:val="0"/>
      <w:marRight w:val="0"/>
      <w:marTop w:val="0"/>
      <w:marBottom w:val="0"/>
      <w:divBdr>
        <w:top w:val="none" w:sz="0" w:space="0" w:color="auto"/>
        <w:left w:val="none" w:sz="0" w:space="0" w:color="auto"/>
        <w:bottom w:val="none" w:sz="0" w:space="0" w:color="auto"/>
        <w:right w:val="none" w:sz="0" w:space="0" w:color="auto"/>
      </w:divBdr>
    </w:div>
    <w:div w:id="618609037">
      <w:bodyDiv w:val="1"/>
      <w:marLeft w:val="0"/>
      <w:marRight w:val="0"/>
      <w:marTop w:val="0"/>
      <w:marBottom w:val="0"/>
      <w:divBdr>
        <w:top w:val="none" w:sz="0" w:space="0" w:color="auto"/>
        <w:left w:val="none" w:sz="0" w:space="0" w:color="auto"/>
        <w:bottom w:val="none" w:sz="0" w:space="0" w:color="auto"/>
        <w:right w:val="none" w:sz="0" w:space="0" w:color="auto"/>
      </w:divBdr>
    </w:div>
    <w:div w:id="668408512">
      <w:bodyDiv w:val="1"/>
      <w:marLeft w:val="0"/>
      <w:marRight w:val="0"/>
      <w:marTop w:val="0"/>
      <w:marBottom w:val="0"/>
      <w:divBdr>
        <w:top w:val="none" w:sz="0" w:space="0" w:color="auto"/>
        <w:left w:val="none" w:sz="0" w:space="0" w:color="auto"/>
        <w:bottom w:val="none" w:sz="0" w:space="0" w:color="auto"/>
        <w:right w:val="none" w:sz="0" w:space="0" w:color="auto"/>
      </w:divBdr>
    </w:div>
    <w:div w:id="676737184">
      <w:bodyDiv w:val="1"/>
      <w:marLeft w:val="0"/>
      <w:marRight w:val="0"/>
      <w:marTop w:val="0"/>
      <w:marBottom w:val="0"/>
      <w:divBdr>
        <w:top w:val="none" w:sz="0" w:space="0" w:color="auto"/>
        <w:left w:val="none" w:sz="0" w:space="0" w:color="auto"/>
        <w:bottom w:val="none" w:sz="0" w:space="0" w:color="auto"/>
        <w:right w:val="none" w:sz="0" w:space="0" w:color="auto"/>
      </w:divBdr>
    </w:div>
    <w:div w:id="803735610">
      <w:bodyDiv w:val="1"/>
      <w:marLeft w:val="0"/>
      <w:marRight w:val="0"/>
      <w:marTop w:val="0"/>
      <w:marBottom w:val="0"/>
      <w:divBdr>
        <w:top w:val="none" w:sz="0" w:space="0" w:color="auto"/>
        <w:left w:val="none" w:sz="0" w:space="0" w:color="auto"/>
        <w:bottom w:val="none" w:sz="0" w:space="0" w:color="auto"/>
        <w:right w:val="none" w:sz="0" w:space="0" w:color="auto"/>
      </w:divBdr>
    </w:div>
    <w:div w:id="826095965">
      <w:bodyDiv w:val="1"/>
      <w:marLeft w:val="0"/>
      <w:marRight w:val="0"/>
      <w:marTop w:val="0"/>
      <w:marBottom w:val="0"/>
      <w:divBdr>
        <w:top w:val="none" w:sz="0" w:space="0" w:color="auto"/>
        <w:left w:val="none" w:sz="0" w:space="0" w:color="auto"/>
        <w:bottom w:val="none" w:sz="0" w:space="0" w:color="auto"/>
        <w:right w:val="none" w:sz="0" w:space="0" w:color="auto"/>
      </w:divBdr>
    </w:div>
    <w:div w:id="842278471">
      <w:bodyDiv w:val="1"/>
      <w:marLeft w:val="0"/>
      <w:marRight w:val="0"/>
      <w:marTop w:val="0"/>
      <w:marBottom w:val="0"/>
      <w:divBdr>
        <w:top w:val="none" w:sz="0" w:space="0" w:color="auto"/>
        <w:left w:val="none" w:sz="0" w:space="0" w:color="auto"/>
        <w:bottom w:val="none" w:sz="0" w:space="0" w:color="auto"/>
        <w:right w:val="none" w:sz="0" w:space="0" w:color="auto"/>
      </w:divBdr>
    </w:div>
    <w:div w:id="901260453">
      <w:bodyDiv w:val="1"/>
      <w:marLeft w:val="0"/>
      <w:marRight w:val="0"/>
      <w:marTop w:val="0"/>
      <w:marBottom w:val="0"/>
      <w:divBdr>
        <w:top w:val="none" w:sz="0" w:space="0" w:color="auto"/>
        <w:left w:val="none" w:sz="0" w:space="0" w:color="auto"/>
        <w:bottom w:val="none" w:sz="0" w:space="0" w:color="auto"/>
        <w:right w:val="none" w:sz="0" w:space="0" w:color="auto"/>
      </w:divBdr>
    </w:div>
    <w:div w:id="904025285">
      <w:bodyDiv w:val="1"/>
      <w:marLeft w:val="0"/>
      <w:marRight w:val="0"/>
      <w:marTop w:val="0"/>
      <w:marBottom w:val="0"/>
      <w:divBdr>
        <w:top w:val="none" w:sz="0" w:space="0" w:color="auto"/>
        <w:left w:val="none" w:sz="0" w:space="0" w:color="auto"/>
        <w:bottom w:val="none" w:sz="0" w:space="0" w:color="auto"/>
        <w:right w:val="none" w:sz="0" w:space="0" w:color="auto"/>
      </w:divBdr>
    </w:div>
    <w:div w:id="928849683">
      <w:bodyDiv w:val="1"/>
      <w:marLeft w:val="0"/>
      <w:marRight w:val="0"/>
      <w:marTop w:val="0"/>
      <w:marBottom w:val="0"/>
      <w:divBdr>
        <w:top w:val="none" w:sz="0" w:space="0" w:color="auto"/>
        <w:left w:val="none" w:sz="0" w:space="0" w:color="auto"/>
        <w:bottom w:val="none" w:sz="0" w:space="0" w:color="auto"/>
        <w:right w:val="none" w:sz="0" w:space="0" w:color="auto"/>
      </w:divBdr>
    </w:div>
    <w:div w:id="945695622">
      <w:bodyDiv w:val="1"/>
      <w:marLeft w:val="0"/>
      <w:marRight w:val="0"/>
      <w:marTop w:val="0"/>
      <w:marBottom w:val="0"/>
      <w:divBdr>
        <w:top w:val="none" w:sz="0" w:space="0" w:color="auto"/>
        <w:left w:val="none" w:sz="0" w:space="0" w:color="auto"/>
        <w:bottom w:val="none" w:sz="0" w:space="0" w:color="auto"/>
        <w:right w:val="none" w:sz="0" w:space="0" w:color="auto"/>
      </w:divBdr>
    </w:div>
    <w:div w:id="1130707510">
      <w:bodyDiv w:val="1"/>
      <w:marLeft w:val="0"/>
      <w:marRight w:val="0"/>
      <w:marTop w:val="0"/>
      <w:marBottom w:val="0"/>
      <w:divBdr>
        <w:top w:val="none" w:sz="0" w:space="0" w:color="auto"/>
        <w:left w:val="none" w:sz="0" w:space="0" w:color="auto"/>
        <w:bottom w:val="none" w:sz="0" w:space="0" w:color="auto"/>
        <w:right w:val="none" w:sz="0" w:space="0" w:color="auto"/>
      </w:divBdr>
    </w:div>
    <w:div w:id="1134713771">
      <w:bodyDiv w:val="1"/>
      <w:marLeft w:val="0"/>
      <w:marRight w:val="0"/>
      <w:marTop w:val="0"/>
      <w:marBottom w:val="0"/>
      <w:divBdr>
        <w:top w:val="none" w:sz="0" w:space="0" w:color="auto"/>
        <w:left w:val="none" w:sz="0" w:space="0" w:color="auto"/>
        <w:bottom w:val="none" w:sz="0" w:space="0" w:color="auto"/>
        <w:right w:val="none" w:sz="0" w:space="0" w:color="auto"/>
      </w:divBdr>
    </w:div>
    <w:div w:id="1235165106">
      <w:bodyDiv w:val="1"/>
      <w:marLeft w:val="0"/>
      <w:marRight w:val="0"/>
      <w:marTop w:val="0"/>
      <w:marBottom w:val="0"/>
      <w:divBdr>
        <w:top w:val="none" w:sz="0" w:space="0" w:color="auto"/>
        <w:left w:val="none" w:sz="0" w:space="0" w:color="auto"/>
        <w:bottom w:val="none" w:sz="0" w:space="0" w:color="auto"/>
        <w:right w:val="none" w:sz="0" w:space="0" w:color="auto"/>
      </w:divBdr>
    </w:div>
    <w:div w:id="1259868095">
      <w:bodyDiv w:val="1"/>
      <w:marLeft w:val="0"/>
      <w:marRight w:val="0"/>
      <w:marTop w:val="0"/>
      <w:marBottom w:val="0"/>
      <w:divBdr>
        <w:top w:val="none" w:sz="0" w:space="0" w:color="auto"/>
        <w:left w:val="none" w:sz="0" w:space="0" w:color="auto"/>
        <w:bottom w:val="none" w:sz="0" w:space="0" w:color="auto"/>
        <w:right w:val="none" w:sz="0" w:space="0" w:color="auto"/>
      </w:divBdr>
    </w:div>
    <w:div w:id="1365208819">
      <w:bodyDiv w:val="1"/>
      <w:marLeft w:val="0"/>
      <w:marRight w:val="0"/>
      <w:marTop w:val="0"/>
      <w:marBottom w:val="0"/>
      <w:divBdr>
        <w:top w:val="none" w:sz="0" w:space="0" w:color="auto"/>
        <w:left w:val="none" w:sz="0" w:space="0" w:color="auto"/>
        <w:bottom w:val="none" w:sz="0" w:space="0" w:color="auto"/>
        <w:right w:val="none" w:sz="0" w:space="0" w:color="auto"/>
      </w:divBdr>
    </w:div>
    <w:div w:id="1380478422">
      <w:bodyDiv w:val="1"/>
      <w:marLeft w:val="0"/>
      <w:marRight w:val="0"/>
      <w:marTop w:val="0"/>
      <w:marBottom w:val="0"/>
      <w:divBdr>
        <w:top w:val="none" w:sz="0" w:space="0" w:color="auto"/>
        <w:left w:val="none" w:sz="0" w:space="0" w:color="auto"/>
        <w:bottom w:val="none" w:sz="0" w:space="0" w:color="auto"/>
        <w:right w:val="none" w:sz="0" w:space="0" w:color="auto"/>
      </w:divBdr>
    </w:div>
    <w:div w:id="1403869732">
      <w:bodyDiv w:val="1"/>
      <w:marLeft w:val="0"/>
      <w:marRight w:val="0"/>
      <w:marTop w:val="0"/>
      <w:marBottom w:val="0"/>
      <w:divBdr>
        <w:top w:val="none" w:sz="0" w:space="0" w:color="auto"/>
        <w:left w:val="none" w:sz="0" w:space="0" w:color="auto"/>
        <w:bottom w:val="none" w:sz="0" w:space="0" w:color="auto"/>
        <w:right w:val="none" w:sz="0" w:space="0" w:color="auto"/>
      </w:divBdr>
    </w:div>
    <w:div w:id="1412583675">
      <w:bodyDiv w:val="1"/>
      <w:marLeft w:val="0"/>
      <w:marRight w:val="0"/>
      <w:marTop w:val="0"/>
      <w:marBottom w:val="0"/>
      <w:divBdr>
        <w:top w:val="none" w:sz="0" w:space="0" w:color="auto"/>
        <w:left w:val="none" w:sz="0" w:space="0" w:color="auto"/>
        <w:bottom w:val="none" w:sz="0" w:space="0" w:color="auto"/>
        <w:right w:val="none" w:sz="0" w:space="0" w:color="auto"/>
      </w:divBdr>
    </w:div>
    <w:div w:id="1446462394">
      <w:bodyDiv w:val="1"/>
      <w:marLeft w:val="0"/>
      <w:marRight w:val="0"/>
      <w:marTop w:val="0"/>
      <w:marBottom w:val="0"/>
      <w:divBdr>
        <w:top w:val="none" w:sz="0" w:space="0" w:color="auto"/>
        <w:left w:val="none" w:sz="0" w:space="0" w:color="auto"/>
        <w:bottom w:val="none" w:sz="0" w:space="0" w:color="auto"/>
        <w:right w:val="none" w:sz="0" w:space="0" w:color="auto"/>
      </w:divBdr>
    </w:div>
    <w:div w:id="1448894949">
      <w:bodyDiv w:val="1"/>
      <w:marLeft w:val="0"/>
      <w:marRight w:val="0"/>
      <w:marTop w:val="0"/>
      <w:marBottom w:val="0"/>
      <w:divBdr>
        <w:top w:val="none" w:sz="0" w:space="0" w:color="auto"/>
        <w:left w:val="none" w:sz="0" w:space="0" w:color="auto"/>
        <w:bottom w:val="none" w:sz="0" w:space="0" w:color="auto"/>
        <w:right w:val="none" w:sz="0" w:space="0" w:color="auto"/>
      </w:divBdr>
    </w:div>
    <w:div w:id="1471627751">
      <w:bodyDiv w:val="1"/>
      <w:marLeft w:val="0"/>
      <w:marRight w:val="0"/>
      <w:marTop w:val="0"/>
      <w:marBottom w:val="0"/>
      <w:divBdr>
        <w:top w:val="none" w:sz="0" w:space="0" w:color="auto"/>
        <w:left w:val="none" w:sz="0" w:space="0" w:color="auto"/>
        <w:bottom w:val="none" w:sz="0" w:space="0" w:color="auto"/>
        <w:right w:val="none" w:sz="0" w:space="0" w:color="auto"/>
      </w:divBdr>
    </w:div>
    <w:div w:id="1533110678">
      <w:bodyDiv w:val="1"/>
      <w:marLeft w:val="0"/>
      <w:marRight w:val="0"/>
      <w:marTop w:val="0"/>
      <w:marBottom w:val="0"/>
      <w:divBdr>
        <w:top w:val="none" w:sz="0" w:space="0" w:color="auto"/>
        <w:left w:val="none" w:sz="0" w:space="0" w:color="auto"/>
        <w:bottom w:val="none" w:sz="0" w:space="0" w:color="auto"/>
        <w:right w:val="none" w:sz="0" w:space="0" w:color="auto"/>
      </w:divBdr>
    </w:div>
    <w:div w:id="1555890879">
      <w:bodyDiv w:val="1"/>
      <w:marLeft w:val="0"/>
      <w:marRight w:val="0"/>
      <w:marTop w:val="0"/>
      <w:marBottom w:val="0"/>
      <w:divBdr>
        <w:top w:val="none" w:sz="0" w:space="0" w:color="auto"/>
        <w:left w:val="none" w:sz="0" w:space="0" w:color="auto"/>
        <w:bottom w:val="none" w:sz="0" w:space="0" w:color="auto"/>
        <w:right w:val="none" w:sz="0" w:space="0" w:color="auto"/>
      </w:divBdr>
    </w:div>
    <w:div w:id="1616450157">
      <w:bodyDiv w:val="1"/>
      <w:marLeft w:val="0"/>
      <w:marRight w:val="0"/>
      <w:marTop w:val="0"/>
      <w:marBottom w:val="0"/>
      <w:divBdr>
        <w:top w:val="none" w:sz="0" w:space="0" w:color="auto"/>
        <w:left w:val="none" w:sz="0" w:space="0" w:color="auto"/>
        <w:bottom w:val="none" w:sz="0" w:space="0" w:color="auto"/>
        <w:right w:val="none" w:sz="0" w:space="0" w:color="auto"/>
      </w:divBdr>
    </w:div>
    <w:div w:id="1635791278">
      <w:bodyDiv w:val="1"/>
      <w:marLeft w:val="0"/>
      <w:marRight w:val="0"/>
      <w:marTop w:val="0"/>
      <w:marBottom w:val="0"/>
      <w:divBdr>
        <w:top w:val="none" w:sz="0" w:space="0" w:color="auto"/>
        <w:left w:val="none" w:sz="0" w:space="0" w:color="auto"/>
        <w:bottom w:val="none" w:sz="0" w:space="0" w:color="auto"/>
        <w:right w:val="none" w:sz="0" w:space="0" w:color="auto"/>
      </w:divBdr>
    </w:div>
    <w:div w:id="1652632835">
      <w:bodyDiv w:val="1"/>
      <w:marLeft w:val="0"/>
      <w:marRight w:val="0"/>
      <w:marTop w:val="0"/>
      <w:marBottom w:val="0"/>
      <w:divBdr>
        <w:top w:val="none" w:sz="0" w:space="0" w:color="auto"/>
        <w:left w:val="none" w:sz="0" w:space="0" w:color="auto"/>
        <w:bottom w:val="none" w:sz="0" w:space="0" w:color="auto"/>
        <w:right w:val="none" w:sz="0" w:space="0" w:color="auto"/>
      </w:divBdr>
    </w:div>
    <w:div w:id="1705327301">
      <w:bodyDiv w:val="1"/>
      <w:marLeft w:val="0"/>
      <w:marRight w:val="0"/>
      <w:marTop w:val="0"/>
      <w:marBottom w:val="0"/>
      <w:divBdr>
        <w:top w:val="none" w:sz="0" w:space="0" w:color="auto"/>
        <w:left w:val="none" w:sz="0" w:space="0" w:color="auto"/>
        <w:bottom w:val="none" w:sz="0" w:space="0" w:color="auto"/>
        <w:right w:val="none" w:sz="0" w:space="0" w:color="auto"/>
      </w:divBdr>
    </w:div>
    <w:div w:id="1709336097">
      <w:bodyDiv w:val="1"/>
      <w:marLeft w:val="0"/>
      <w:marRight w:val="0"/>
      <w:marTop w:val="0"/>
      <w:marBottom w:val="0"/>
      <w:divBdr>
        <w:top w:val="none" w:sz="0" w:space="0" w:color="auto"/>
        <w:left w:val="none" w:sz="0" w:space="0" w:color="auto"/>
        <w:bottom w:val="none" w:sz="0" w:space="0" w:color="auto"/>
        <w:right w:val="none" w:sz="0" w:space="0" w:color="auto"/>
      </w:divBdr>
    </w:div>
    <w:div w:id="1742168154">
      <w:bodyDiv w:val="1"/>
      <w:marLeft w:val="0"/>
      <w:marRight w:val="0"/>
      <w:marTop w:val="0"/>
      <w:marBottom w:val="0"/>
      <w:divBdr>
        <w:top w:val="none" w:sz="0" w:space="0" w:color="auto"/>
        <w:left w:val="none" w:sz="0" w:space="0" w:color="auto"/>
        <w:bottom w:val="none" w:sz="0" w:space="0" w:color="auto"/>
        <w:right w:val="none" w:sz="0" w:space="0" w:color="auto"/>
      </w:divBdr>
    </w:div>
    <w:div w:id="1758406347">
      <w:bodyDiv w:val="1"/>
      <w:marLeft w:val="0"/>
      <w:marRight w:val="0"/>
      <w:marTop w:val="0"/>
      <w:marBottom w:val="0"/>
      <w:divBdr>
        <w:top w:val="none" w:sz="0" w:space="0" w:color="auto"/>
        <w:left w:val="none" w:sz="0" w:space="0" w:color="auto"/>
        <w:bottom w:val="none" w:sz="0" w:space="0" w:color="auto"/>
        <w:right w:val="none" w:sz="0" w:space="0" w:color="auto"/>
      </w:divBdr>
    </w:div>
    <w:div w:id="1785878252">
      <w:bodyDiv w:val="1"/>
      <w:marLeft w:val="0"/>
      <w:marRight w:val="0"/>
      <w:marTop w:val="0"/>
      <w:marBottom w:val="0"/>
      <w:divBdr>
        <w:top w:val="none" w:sz="0" w:space="0" w:color="auto"/>
        <w:left w:val="none" w:sz="0" w:space="0" w:color="auto"/>
        <w:bottom w:val="none" w:sz="0" w:space="0" w:color="auto"/>
        <w:right w:val="none" w:sz="0" w:space="0" w:color="auto"/>
      </w:divBdr>
    </w:div>
    <w:div w:id="1856990625">
      <w:bodyDiv w:val="1"/>
      <w:marLeft w:val="0"/>
      <w:marRight w:val="0"/>
      <w:marTop w:val="0"/>
      <w:marBottom w:val="0"/>
      <w:divBdr>
        <w:top w:val="none" w:sz="0" w:space="0" w:color="auto"/>
        <w:left w:val="none" w:sz="0" w:space="0" w:color="auto"/>
        <w:bottom w:val="none" w:sz="0" w:space="0" w:color="auto"/>
        <w:right w:val="none" w:sz="0" w:space="0" w:color="auto"/>
      </w:divBdr>
    </w:div>
    <w:div w:id="1870683347">
      <w:bodyDiv w:val="1"/>
      <w:marLeft w:val="0"/>
      <w:marRight w:val="0"/>
      <w:marTop w:val="0"/>
      <w:marBottom w:val="0"/>
      <w:divBdr>
        <w:top w:val="none" w:sz="0" w:space="0" w:color="auto"/>
        <w:left w:val="none" w:sz="0" w:space="0" w:color="auto"/>
        <w:bottom w:val="none" w:sz="0" w:space="0" w:color="auto"/>
        <w:right w:val="none" w:sz="0" w:space="0" w:color="auto"/>
      </w:divBdr>
    </w:div>
    <w:div w:id="190391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445731/LPE_Capitation.pdf" TargetMode="External"/><Relationship Id="rId2" Type="http://schemas.openxmlformats.org/officeDocument/2006/relationships/hyperlink" Target="http://internationalbudget.org/wp-content/uploads/Citizens-as-Partners-OECD-Handbook.pdf" TargetMode="External"/><Relationship Id="rId1" Type="http://schemas.openxmlformats.org/officeDocument/2006/relationships/hyperlink" Target="http://www.citizensinformationboard.ie/services/so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FF7D5-2D34-4441-909B-8DAC56D12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2387</Words>
  <Characters>13612</Characters>
  <Application>Microsoft Office Word</Application>
  <DocSecurity>0</DocSecurity>
  <Lines>113</Lines>
  <Paragraphs>31</Paragraphs>
  <ScaleCrop>false</ScaleCrop>
  <Company/>
  <LinksUpToDate>false</LinksUpToDate>
  <CharactersWithSpaces>15968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2016-03-23T10:30:00Z</dcterms:created>
  <dcterms:modified xsi:type="dcterms:W3CDTF">2016-03-23T10:30:00Z</dcterms:modified>
</cp:coreProperties>
</file>